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5B09F" w14:textId="77777777" w:rsidR="00AF712A" w:rsidRDefault="008E306C">
      <w:r w:rsidRPr="008E306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7E82E" wp14:editId="4A82EF52">
                <wp:simplePos x="0" y="0"/>
                <wp:positionH relativeFrom="column">
                  <wp:posOffset>1580515</wp:posOffset>
                </wp:positionH>
                <wp:positionV relativeFrom="paragraph">
                  <wp:posOffset>628015</wp:posOffset>
                </wp:positionV>
                <wp:extent cx="1964055" cy="3905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05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4A966B" w14:textId="77777777" w:rsidR="008E306C" w:rsidRPr="007F6B17" w:rsidRDefault="008E306C" w:rsidP="008E306C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40"/>
                              </w:rPr>
                            </w:pPr>
                            <w:r w:rsidRPr="007F6B17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40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A7E82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4.45pt;margin-top:49.45pt;width:154.6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" filled="f" stroked="f" strokeweight=".5pt">
                <v:textbox>
                  <w:txbxContent>
                    <w:p w14:paraId="764A966B" w14:textId="77777777" w:rsidR="008E306C" w:rsidRPr="007F6B17" w:rsidRDefault="008E306C" w:rsidP="008E306C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40"/>
                          <w:szCs w:val="40"/>
                        </w:rPr>
                      </w:pPr>
                      <w:r w:rsidRPr="007F6B17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40"/>
                          <w:szCs w:val="40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>
        <w:object w:dxaOrig="9780" w:dyaOrig="3826" w14:anchorId="1C2408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0.65pt;height:74.3pt" o:ole="">
            <v:imagedata r:id="rId6" o:title=""/>
          </v:shape>
          <o:OLEObject Type="Embed" ProgID="AcroExch.Document.11" ShapeID="_x0000_i1025" DrawAspect="Content" ObjectID="_1539512280" r:id="rId7"/>
        </w:object>
      </w:r>
    </w:p>
    <w:p w14:paraId="4DB5B4AE" w14:textId="77777777" w:rsidR="004E0B62" w:rsidRDefault="004E0B62" w:rsidP="00044AB5">
      <w:pPr>
        <w:rPr>
          <w:sz w:val="24"/>
          <w:szCs w:val="24"/>
        </w:rPr>
      </w:pPr>
    </w:p>
    <w:p w14:paraId="4EE146DC" w14:textId="77777777" w:rsidR="00044AB5" w:rsidRDefault="0018187A" w:rsidP="00044AB5">
      <w:pPr>
        <w:rPr>
          <w:b/>
          <w:sz w:val="24"/>
          <w:szCs w:val="24"/>
        </w:rPr>
      </w:pPr>
      <w:r>
        <w:rPr>
          <w:b/>
          <w:sz w:val="24"/>
          <w:szCs w:val="24"/>
        </w:rPr>
        <w:t>AFFILIATION/ALIGNMENT POLICY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806BD" w14:paraId="11125D48" w14:textId="77777777" w:rsidTr="009806BD">
        <w:tc>
          <w:tcPr>
            <w:tcW w:w="4508" w:type="dxa"/>
          </w:tcPr>
          <w:p w14:paraId="336842FC" w14:textId="77777777" w:rsidR="009806BD" w:rsidRDefault="009806BD" w:rsidP="009806BD">
            <w:pPr>
              <w:rPr>
                <w:szCs w:val="24"/>
              </w:rPr>
            </w:pPr>
            <w:r>
              <w:rPr>
                <w:szCs w:val="24"/>
              </w:rPr>
              <w:t>Effective Date:</w:t>
            </w:r>
          </w:p>
        </w:tc>
        <w:tc>
          <w:tcPr>
            <w:tcW w:w="4508" w:type="dxa"/>
          </w:tcPr>
          <w:p w14:paraId="41DE87F3" w14:textId="71DFD461" w:rsidR="009806BD" w:rsidRDefault="009806BD" w:rsidP="005C3C2F">
            <w:pPr>
              <w:rPr>
                <w:szCs w:val="24"/>
              </w:rPr>
            </w:pPr>
            <w:r>
              <w:rPr>
                <w:szCs w:val="24"/>
              </w:rPr>
              <w:t>Review Date:</w:t>
            </w:r>
            <w:r w:rsidR="00474797">
              <w:rPr>
                <w:szCs w:val="24"/>
              </w:rPr>
              <w:t xml:space="preserve"> Board Meeting </w:t>
            </w:r>
            <w:r w:rsidR="005C3C2F">
              <w:rPr>
                <w:szCs w:val="24"/>
              </w:rPr>
              <w:t>9</w:t>
            </w:r>
            <w:r w:rsidR="00474797">
              <w:rPr>
                <w:szCs w:val="24"/>
              </w:rPr>
              <w:t xml:space="preserve">, </w:t>
            </w:r>
            <w:r w:rsidR="008656C9">
              <w:rPr>
                <w:szCs w:val="24"/>
              </w:rPr>
              <w:t xml:space="preserve"> 2017</w:t>
            </w:r>
          </w:p>
        </w:tc>
      </w:tr>
      <w:tr w:rsidR="009806BD" w14:paraId="06696D83" w14:textId="77777777" w:rsidTr="009806BD">
        <w:tc>
          <w:tcPr>
            <w:tcW w:w="4508" w:type="dxa"/>
          </w:tcPr>
          <w:p w14:paraId="08914B22" w14:textId="77777777" w:rsidR="009806BD" w:rsidRDefault="009806BD" w:rsidP="009806BD">
            <w:pPr>
              <w:rPr>
                <w:szCs w:val="24"/>
              </w:rPr>
            </w:pPr>
            <w:r>
              <w:rPr>
                <w:szCs w:val="24"/>
              </w:rPr>
              <w:t>Version:</w:t>
            </w:r>
            <w:r w:rsidR="008656C9">
              <w:rPr>
                <w:szCs w:val="24"/>
              </w:rPr>
              <w:t xml:space="preserve"> 1.0</w:t>
            </w:r>
          </w:p>
        </w:tc>
        <w:tc>
          <w:tcPr>
            <w:tcW w:w="4508" w:type="dxa"/>
          </w:tcPr>
          <w:p w14:paraId="48FBFEC3" w14:textId="32E38799" w:rsidR="009806BD" w:rsidRDefault="009806BD" w:rsidP="009806BD">
            <w:pPr>
              <w:rPr>
                <w:szCs w:val="24"/>
              </w:rPr>
            </w:pPr>
            <w:r>
              <w:rPr>
                <w:szCs w:val="24"/>
              </w:rPr>
              <w:t>Supersedes:</w:t>
            </w:r>
            <w:r w:rsidR="008656C9">
              <w:rPr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14:paraId="159AF8EF" w14:textId="77777777" w:rsidR="009806BD" w:rsidRDefault="009806BD" w:rsidP="00044AB5">
      <w:pPr>
        <w:rPr>
          <w:b/>
          <w:sz w:val="24"/>
          <w:szCs w:val="24"/>
        </w:rPr>
      </w:pPr>
    </w:p>
    <w:p w14:paraId="754CA118" w14:textId="5DD5C3E2" w:rsidR="00534F4F" w:rsidRPr="00FE69DF" w:rsidRDefault="001F3646" w:rsidP="00044AB5">
      <w:pPr>
        <w:rPr>
          <w:b/>
          <w:sz w:val="24"/>
          <w:szCs w:val="24"/>
        </w:rPr>
      </w:pPr>
      <w:r>
        <w:rPr>
          <w:b/>
          <w:sz w:val="24"/>
          <w:szCs w:val="24"/>
        </w:rPr>
        <w:t>POLICY STATEMENT</w:t>
      </w:r>
    </w:p>
    <w:p w14:paraId="17CCFF5F" w14:textId="1702403E" w:rsidR="00D923D8" w:rsidRDefault="00190369" w:rsidP="00044AB5">
      <w:pPr>
        <w:rPr>
          <w:sz w:val="24"/>
          <w:szCs w:val="24"/>
        </w:rPr>
      </w:pPr>
      <w:r>
        <w:rPr>
          <w:sz w:val="24"/>
          <w:szCs w:val="24"/>
        </w:rPr>
        <w:t>SuperGrans</w:t>
      </w:r>
      <w:r w:rsidR="00FA7510">
        <w:rPr>
          <w:sz w:val="24"/>
          <w:szCs w:val="24"/>
        </w:rPr>
        <w:t xml:space="preserve"> Aotearoa</w:t>
      </w:r>
      <w:r>
        <w:rPr>
          <w:sz w:val="24"/>
          <w:szCs w:val="24"/>
        </w:rPr>
        <w:t xml:space="preserve"> is a non-aligned organisation</w:t>
      </w:r>
      <w:r w:rsidR="00FA7510">
        <w:rPr>
          <w:sz w:val="24"/>
          <w:szCs w:val="24"/>
        </w:rPr>
        <w:t xml:space="preserve"> that</w:t>
      </w:r>
      <w:r>
        <w:rPr>
          <w:sz w:val="24"/>
          <w:szCs w:val="24"/>
        </w:rPr>
        <w:t xml:space="preserve"> optimise</w:t>
      </w:r>
      <w:r w:rsidR="00FA7510">
        <w:rPr>
          <w:sz w:val="24"/>
          <w:szCs w:val="24"/>
        </w:rPr>
        <w:t>s</w:t>
      </w:r>
      <w:r>
        <w:rPr>
          <w:sz w:val="24"/>
          <w:szCs w:val="24"/>
        </w:rPr>
        <w:t xml:space="preserve"> client engagement opportunities. </w:t>
      </w:r>
      <w:r w:rsidR="00FA7510">
        <w:rPr>
          <w:sz w:val="24"/>
          <w:szCs w:val="24"/>
        </w:rPr>
        <w:t xml:space="preserve"> Any Memoranda of Understanding with other organisations must not compromise the SuperGrans brand.  Organisations wanting to affiliate with SuperGrans Aotearoa must sign an affiliation agreement. </w:t>
      </w:r>
    </w:p>
    <w:p w14:paraId="23A58FF6" w14:textId="77777777" w:rsidR="00AA56BD" w:rsidRPr="00FE69DF" w:rsidRDefault="00AA56BD" w:rsidP="00044AB5">
      <w:pPr>
        <w:rPr>
          <w:b/>
          <w:sz w:val="24"/>
          <w:szCs w:val="24"/>
        </w:rPr>
      </w:pPr>
      <w:r w:rsidRPr="00FE69DF">
        <w:rPr>
          <w:b/>
          <w:sz w:val="24"/>
          <w:szCs w:val="24"/>
        </w:rPr>
        <w:t>DEFINITIONS</w:t>
      </w:r>
    </w:p>
    <w:p w14:paraId="21908EB6" w14:textId="71E5A6B6" w:rsidR="00AA56BD" w:rsidRDefault="00190369" w:rsidP="00044AB5">
      <w:pPr>
        <w:rPr>
          <w:sz w:val="24"/>
          <w:szCs w:val="24"/>
        </w:rPr>
      </w:pPr>
      <w:r w:rsidRPr="00AC6072">
        <w:rPr>
          <w:b/>
          <w:sz w:val="24"/>
          <w:szCs w:val="24"/>
        </w:rPr>
        <w:t>Aspects which may compromise the brand:</w:t>
      </w:r>
      <w:r>
        <w:rPr>
          <w:sz w:val="24"/>
          <w:szCs w:val="24"/>
        </w:rPr>
        <w:t xml:space="preserve"> Inclusive of but not limited to, religious, cultural, financial, ethical interpretations</w:t>
      </w:r>
      <w:r w:rsidR="005C3C2F">
        <w:rPr>
          <w:sz w:val="24"/>
          <w:szCs w:val="24"/>
        </w:rPr>
        <w:t>, reputation</w:t>
      </w:r>
      <w:r>
        <w:rPr>
          <w:sz w:val="24"/>
          <w:szCs w:val="24"/>
        </w:rPr>
        <w:t>.</w:t>
      </w:r>
    </w:p>
    <w:p w14:paraId="41BF9463" w14:textId="77777777" w:rsidR="0018187A" w:rsidRDefault="0018187A" w:rsidP="00044AB5">
      <w:pPr>
        <w:rPr>
          <w:sz w:val="24"/>
          <w:szCs w:val="24"/>
        </w:rPr>
      </w:pPr>
      <w:r w:rsidRPr="00AC6072">
        <w:rPr>
          <w:b/>
          <w:sz w:val="24"/>
          <w:szCs w:val="24"/>
        </w:rPr>
        <w:t>Memorandums of Understanding (MOU):</w:t>
      </w:r>
      <w:r>
        <w:rPr>
          <w:sz w:val="24"/>
          <w:szCs w:val="24"/>
        </w:rPr>
        <w:t xml:space="preserve"> </w:t>
      </w:r>
      <w:r w:rsidR="00BE3E97">
        <w:rPr>
          <w:sz w:val="24"/>
          <w:szCs w:val="24"/>
        </w:rPr>
        <w:t xml:space="preserve">Agreements with organisations who do not comply with SuperGrans Aotearoa alignment criteria but may wish to engage in SGA networking and social events. </w:t>
      </w:r>
    </w:p>
    <w:p w14:paraId="6DAC839C" w14:textId="77777777" w:rsidR="0018187A" w:rsidRDefault="0018187A" w:rsidP="00044AB5">
      <w:pPr>
        <w:rPr>
          <w:sz w:val="24"/>
          <w:szCs w:val="24"/>
        </w:rPr>
      </w:pPr>
      <w:r w:rsidRPr="00AC6072">
        <w:rPr>
          <w:b/>
          <w:sz w:val="24"/>
          <w:szCs w:val="24"/>
        </w:rPr>
        <w:t>Affiliation Agreements:</w:t>
      </w:r>
      <w:r>
        <w:rPr>
          <w:sz w:val="24"/>
          <w:szCs w:val="24"/>
        </w:rPr>
        <w:t xml:space="preserve"> </w:t>
      </w:r>
      <w:r w:rsidR="00BE3E97">
        <w:rPr>
          <w:sz w:val="24"/>
          <w:szCs w:val="24"/>
        </w:rPr>
        <w:t xml:space="preserve">Agreements with organisations who do comply with SuperGrans Aotearoa alignment criteria and agree to comply with the SuperGrans Aotearoa Rules. </w:t>
      </w:r>
    </w:p>
    <w:p w14:paraId="0E41FC39" w14:textId="77777777" w:rsidR="00AA56BD" w:rsidRPr="00FE69DF" w:rsidRDefault="00534F4F" w:rsidP="00044AB5">
      <w:pPr>
        <w:rPr>
          <w:sz w:val="24"/>
          <w:szCs w:val="24"/>
        </w:rPr>
      </w:pPr>
      <w:r w:rsidRPr="00FE69DF">
        <w:rPr>
          <w:b/>
          <w:sz w:val="24"/>
          <w:szCs w:val="24"/>
        </w:rPr>
        <w:t>ROLES AND R</w:t>
      </w:r>
      <w:r w:rsidR="00FE69DF">
        <w:rPr>
          <w:b/>
          <w:sz w:val="24"/>
          <w:szCs w:val="24"/>
        </w:rPr>
        <w:t>ESPONSIBILITIES</w:t>
      </w:r>
      <w:r w:rsidRPr="00FE69DF">
        <w:rPr>
          <w:sz w:val="24"/>
          <w:szCs w:val="24"/>
        </w:rPr>
        <w:t xml:space="preserve"> </w:t>
      </w:r>
      <w:r w:rsidR="00AA56BD" w:rsidRPr="00FE69DF">
        <w:rPr>
          <w:sz w:val="24"/>
          <w:szCs w:val="24"/>
        </w:rPr>
        <w:t xml:space="preserve"> </w:t>
      </w:r>
    </w:p>
    <w:p w14:paraId="1475D6A0" w14:textId="35EFC4CF" w:rsidR="00101BB6" w:rsidRDefault="0018187A" w:rsidP="00044AB5">
      <w:pPr>
        <w:rPr>
          <w:sz w:val="24"/>
          <w:szCs w:val="24"/>
        </w:rPr>
      </w:pPr>
      <w:r>
        <w:rPr>
          <w:sz w:val="24"/>
          <w:szCs w:val="24"/>
        </w:rPr>
        <w:t xml:space="preserve">The board must </w:t>
      </w:r>
      <w:r w:rsidR="00FA7510">
        <w:rPr>
          <w:sz w:val="24"/>
          <w:szCs w:val="24"/>
        </w:rPr>
        <w:t xml:space="preserve">agree to </w:t>
      </w:r>
      <w:r>
        <w:rPr>
          <w:sz w:val="24"/>
          <w:szCs w:val="24"/>
        </w:rPr>
        <w:t>affiliation/</w:t>
      </w:r>
      <w:r w:rsidR="00BE3E97">
        <w:rPr>
          <w:sz w:val="24"/>
          <w:szCs w:val="24"/>
        </w:rPr>
        <w:t>a</w:t>
      </w:r>
      <w:r>
        <w:rPr>
          <w:sz w:val="24"/>
          <w:szCs w:val="24"/>
        </w:rPr>
        <w:t>lignment applications utilising the affiliation evaluative criteria in their decision making.</w:t>
      </w:r>
    </w:p>
    <w:p w14:paraId="07B76948" w14:textId="77777777" w:rsidR="00101BB6" w:rsidRDefault="00101BB6" w:rsidP="00044AB5">
      <w:pPr>
        <w:rPr>
          <w:sz w:val="24"/>
          <w:szCs w:val="24"/>
        </w:rPr>
      </w:pPr>
    </w:p>
    <w:p w14:paraId="224EA8A1" w14:textId="77777777" w:rsidR="00AA56BD" w:rsidRDefault="00101BB6" w:rsidP="00044AB5">
      <w:pPr>
        <w:rPr>
          <w:sz w:val="24"/>
          <w:szCs w:val="24"/>
        </w:rPr>
      </w:pPr>
      <w:r>
        <w:rPr>
          <w:sz w:val="24"/>
          <w:szCs w:val="24"/>
        </w:rPr>
        <w:t>Refer: Affiliation/Alignment Procedure</w:t>
      </w:r>
      <w:r w:rsidR="0018187A">
        <w:rPr>
          <w:sz w:val="24"/>
          <w:szCs w:val="24"/>
        </w:rPr>
        <w:t xml:space="preserve"> </w:t>
      </w:r>
    </w:p>
    <w:sectPr w:rsidR="00AA56BD" w:rsidSect="00C22BEB">
      <w:pgSz w:w="11906" w:h="16838"/>
      <w:pgMar w:top="1021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55A5"/>
    <w:multiLevelType w:val="hybridMultilevel"/>
    <w:tmpl w:val="C8F63E8C"/>
    <w:lvl w:ilvl="0" w:tplc="14090019">
      <w:start w:val="1"/>
      <w:numFmt w:val="lowerLetter"/>
      <w:lvlText w:val="%1."/>
      <w:lvlJc w:val="left"/>
      <w:pPr>
        <w:ind w:left="1080" w:hanging="360"/>
      </w:pPr>
    </w:lvl>
    <w:lvl w:ilvl="1" w:tplc="14090019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F560B8"/>
    <w:multiLevelType w:val="hybridMultilevel"/>
    <w:tmpl w:val="926E2C18"/>
    <w:lvl w:ilvl="0" w:tplc="1409000F">
      <w:start w:val="1"/>
      <w:numFmt w:val="decimal"/>
      <w:lvlText w:val="%1."/>
      <w:lvlJc w:val="left"/>
      <w:pPr>
        <w:ind w:left="2340" w:hanging="360"/>
      </w:pPr>
    </w:lvl>
    <w:lvl w:ilvl="1" w:tplc="14090019" w:tentative="1">
      <w:start w:val="1"/>
      <w:numFmt w:val="lowerLetter"/>
      <w:lvlText w:val="%2."/>
      <w:lvlJc w:val="left"/>
      <w:pPr>
        <w:ind w:left="3060" w:hanging="360"/>
      </w:pPr>
    </w:lvl>
    <w:lvl w:ilvl="2" w:tplc="1409001B" w:tentative="1">
      <w:start w:val="1"/>
      <w:numFmt w:val="lowerRoman"/>
      <w:lvlText w:val="%3."/>
      <w:lvlJc w:val="right"/>
      <w:pPr>
        <w:ind w:left="3780" w:hanging="180"/>
      </w:pPr>
    </w:lvl>
    <w:lvl w:ilvl="3" w:tplc="1409000F" w:tentative="1">
      <w:start w:val="1"/>
      <w:numFmt w:val="decimal"/>
      <w:lvlText w:val="%4."/>
      <w:lvlJc w:val="left"/>
      <w:pPr>
        <w:ind w:left="4500" w:hanging="360"/>
      </w:pPr>
    </w:lvl>
    <w:lvl w:ilvl="4" w:tplc="14090019" w:tentative="1">
      <w:start w:val="1"/>
      <w:numFmt w:val="lowerLetter"/>
      <w:lvlText w:val="%5."/>
      <w:lvlJc w:val="left"/>
      <w:pPr>
        <w:ind w:left="5220" w:hanging="360"/>
      </w:pPr>
    </w:lvl>
    <w:lvl w:ilvl="5" w:tplc="1409001B" w:tentative="1">
      <w:start w:val="1"/>
      <w:numFmt w:val="lowerRoman"/>
      <w:lvlText w:val="%6."/>
      <w:lvlJc w:val="right"/>
      <w:pPr>
        <w:ind w:left="5940" w:hanging="180"/>
      </w:pPr>
    </w:lvl>
    <w:lvl w:ilvl="6" w:tplc="1409000F" w:tentative="1">
      <w:start w:val="1"/>
      <w:numFmt w:val="decimal"/>
      <w:lvlText w:val="%7."/>
      <w:lvlJc w:val="left"/>
      <w:pPr>
        <w:ind w:left="6660" w:hanging="360"/>
      </w:pPr>
    </w:lvl>
    <w:lvl w:ilvl="7" w:tplc="14090019" w:tentative="1">
      <w:start w:val="1"/>
      <w:numFmt w:val="lowerLetter"/>
      <w:lvlText w:val="%8."/>
      <w:lvlJc w:val="left"/>
      <w:pPr>
        <w:ind w:left="7380" w:hanging="360"/>
      </w:pPr>
    </w:lvl>
    <w:lvl w:ilvl="8" w:tplc="1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122E22F8"/>
    <w:multiLevelType w:val="hybridMultilevel"/>
    <w:tmpl w:val="97342042"/>
    <w:lvl w:ilvl="0" w:tplc="14090017">
      <w:start w:val="1"/>
      <w:numFmt w:val="lowerLetter"/>
      <w:lvlText w:val="%1)"/>
      <w:lvlJc w:val="left"/>
      <w:pPr>
        <w:ind w:left="2340" w:hanging="360"/>
      </w:pPr>
    </w:lvl>
    <w:lvl w:ilvl="1" w:tplc="14090019">
      <w:start w:val="1"/>
      <w:numFmt w:val="lowerLetter"/>
      <w:lvlText w:val="%2."/>
      <w:lvlJc w:val="left"/>
      <w:pPr>
        <w:ind w:left="3060" w:hanging="360"/>
      </w:pPr>
    </w:lvl>
    <w:lvl w:ilvl="2" w:tplc="1409001B">
      <w:start w:val="1"/>
      <w:numFmt w:val="lowerRoman"/>
      <w:lvlText w:val="%3."/>
      <w:lvlJc w:val="right"/>
      <w:pPr>
        <w:ind w:left="3780" w:hanging="180"/>
      </w:pPr>
    </w:lvl>
    <w:lvl w:ilvl="3" w:tplc="1409000F" w:tentative="1">
      <w:start w:val="1"/>
      <w:numFmt w:val="decimal"/>
      <w:lvlText w:val="%4."/>
      <w:lvlJc w:val="left"/>
      <w:pPr>
        <w:ind w:left="4500" w:hanging="360"/>
      </w:pPr>
    </w:lvl>
    <w:lvl w:ilvl="4" w:tplc="14090019" w:tentative="1">
      <w:start w:val="1"/>
      <w:numFmt w:val="lowerLetter"/>
      <w:lvlText w:val="%5."/>
      <w:lvlJc w:val="left"/>
      <w:pPr>
        <w:ind w:left="5220" w:hanging="360"/>
      </w:pPr>
    </w:lvl>
    <w:lvl w:ilvl="5" w:tplc="1409001B" w:tentative="1">
      <w:start w:val="1"/>
      <w:numFmt w:val="lowerRoman"/>
      <w:lvlText w:val="%6."/>
      <w:lvlJc w:val="right"/>
      <w:pPr>
        <w:ind w:left="5940" w:hanging="180"/>
      </w:pPr>
    </w:lvl>
    <w:lvl w:ilvl="6" w:tplc="1409000F" w:tentative="1">
      <w:start w:val="1"/>
      <w:numFmt w:val="decimal"/>
      <w:lvlText w:val="%7."/>
      <w:lvlJc w:val="left"/>
      <w:pPr>
        <w:ind w:left="6660" w:hanging="360"/>
      </w:pPr>
    </w:lvl>
    <w:lvl w:ilvl="7" w:tplc="14090019" w:tentative="1">
      <w:start w:val="1"/>
      <w:numFmt w:val="lowerLetter"/>
      <w:lvlText w:val="%8."/>
      <w:lvlJc w:val="left"/>
      <w:pPr>
        <w:ind w:left="7380" w:hanging="360"/>
      </w:pPr>
    </w:lvl>
    <w:lvl w:ilvl="8" w:tplc="1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14913377"/>
    <w:multiLevelType w:val="multilevel"/>
    <w:tmpl w:val="764CA69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A87EAD"/>
    <w:multiLevelType w:val="hybridMultilevel"/>
    <w:tmpl w:val="22EE751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B3F9E"/>
    <w:multiLevelType w:val="hybridMultilevel"/>
    <w:tmpl w:val="DC56937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0F">
      <w:start w:val="1"/>
      <w:numFmt w:val="decimal"/>
      <w:lvlText w:val="%3."/>
      <w:lvlJc w:val="lef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4525A"/>
    <w:multiLevelType w:val="multilevel"/>
    <w:tmpl w:val="4094E896"/>
    <w:lvl w:ilvl="0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7" w15:restartNumberingAfterBreak="0">
    <w:nsid w:val="3D412CB4"/>
    <w:multiLevelType w:val="hybridMultilevel"/>
    <w:tmpl w:val="708E6B6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9">
      <w:start w:val="1"/>
      <w:numFmt w:val="lowerLetter"/>
      <w:lvlText w:val="%3."/>
      <w:lvlJc w:val="lef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0E1C23"/>
    <w:multiLevelType w:val="hybridMultilevel"/>
    <w:tmpl w:val="1EDA1516"/>
    <w:lvl w:ilvl="0" w:tplc="14090017">
      <w:start w:val="1"/>
      <w:numFmt w:val="lowerLetter"/>
      <w:lvlText w:val="%1)"/>
      <w:lvlJc w:val="left"/>
      <w:pPr>
        <w:ind w:left="1800" w:hanging="360"/>
      </w:p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7B6185B"/>
    <w:multiLevelType w:val="hybridMultilevel"/>
    <w:tmpl w:val="0802842E"/>
    <w:lvl w:ilvl="0" w:tplc="14090019">
      <w:start w:val="1"/>
      <w:numFmt w:val="lowerLetter"/>
      <w:lvlText w:val="%1."/>
      <w:lvlJc w:val="left"/>
      <w:pPr>
        <w:ind w:left="1800" w:hanging="360"/>
      </w:p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C1C647A"/>
    <w:multiLevelType w:val="hybridMultilevel"/>
    <w:tmpl w:val="AD308E2A"/>
    <w:lvl w:ilvl="0" w:tplc="14090017">
      <w:start w:val="1"/>
      <w:numFmt w:val="lowerLetter"/>
      <w:lvlText w:val="%1)"/>
      <w:lvlJc w:val="left"/>
      <w:pPr>
        <w:ind w:left="1080" w:hanging="360"/>
      </w:pPr>
    </w:lvl>
    <w:lvl w:ilvl="1" w:tplc="14090019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E21B3F"/>
    <w:multiLevelType w:val="hybridMultilevel"/>
    <w:tmpl w:val="EB386B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F7F65"/>
    <w:multiLevelType w:val="hybridMultilevel"/>
    <w:tmpl w:val="30045896"/>
    <w:lvl w:ilvl="0" w:tplc="14090019">
      <w:start w:val="1"/>
      <w:numFmt w:val="lowerLetter"/>
      <w:lvlText w:val="%1."/>
      <w:lvlJc w:val="left"/>
      <w:pPr>
        <w:ind w:left="1080" w:hanging="360"/>
      </w:pPr>
    </w:lvl>
    <w:lvl w:ilvl="1" w:tplc="14090019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296E80"/>
    <w:multiLevelType w:val="hybridMultilevel"/>
    <w:tmpl w:val="DA9A0A1E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12"/>
  </w:num>
  <w:num w:numId="7">
    <w:abstractNumId w:val="13"/>
  </w:num>
  <w:num w:numId="8">
    <w:abstractNumId w:val="2"/>
  </w:num>
  <w:num w:numId="9">
    <w:abstractNumId w:val="8"/>
  </w:num>
  <w:num w:numId="10">
    <w:abstractNumId w:val="10"/>
  </w:num>
  <w:num w:numId="11">
    <w:abstractNumId w:val="9"/>
  </w:num>
  <w:num w:numId="12">
    <w:abstractNumId w:val="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D4"/>
    <w:rsid w:val="00022725"/>
    <w:rsid w:val="00044AB5"/>
    <w:rsid w:val="00101BB6"/>
    <w:rsid w:val="0018187A"/>
    <w:rsid w:val="00181F09"/>
    <w:rsid w:val="00190369"/>
    <w:rsid w:val="00195D1A"/>
    <w:rsid w:val="001A3739"/>
    <w:rsid w:val="001F3646"/>
    <w:rsid w:val="002420B4"/>
    <w:rsid w:val="002E326F"/>
    <w:rsid w:val="002F7E66"/>
    <w:rsid w:val="0038703D"/>
    <w:rsid w:val="003B29D5"/>
    <w:rsid w:val="003B4C9A"/>
    <w:rsid w:val="003E1B60"/>
    <w:rsid w:val="00412AE4"/>
    <w:rsid w:val="00474797"/>
    <w:rsid w:val="004E0B62"/>
    <w:rsid w:val="004F4848"/>
    <w:rsid w:val="00534F4F"/>
    <w:rsid w:val="0054425F"/>
    <w:rsid w:val="005459DA"/>
    <w:rsid w:val="00563549"/>
    <w:rsid w:val="005A3B92"/>
    <w:rsid w:val="005C3C2F"/>
    <w:rsid w:val="005C3D80"/>
    <w:rsid w:val="005E20DF"/>
    <w:rsid w:val="006240D3"/>
    <w:rsid w:val="00654172"/>
    <w:rsid w:val="00657A9E"/>
    <w:rsid w:val="00670307"/>
    <w:rsid w:val="006D55A4"/>
    <w:rsid w:val="00703BC4"/>
    <w:rsid w:val="0073161B"/>
    <w:rsid w:val="00766180"/>
    <w:rsid w:val="007A4047"/>
    <w:rsid w:val="00841A16"/>
    <w:rsid w:val="008656C9"/>
    <w:rsid w:val="00866851"/>
    <w:rsid w:val="008A6E60"/>
    <w:rsid w:val="008B2C9E"/>
    <w:rsid w:val="008C3438"/>
    <w:rsid w:val="008C6723"/>
    <w:rsid w:val="008E306C"/>
    <w:rsid w:val="008F0EB7"/>
    <w:rsid w:val="00925C5A"/>
    <w:rsid w:val="009806BD"/>
    <w:rsid w:val="009A4EE9"/>
    <w:rsid w:val="009A506A"/>
    <w:rsid w:val="009F4CD4"/>
    <w:rsid w:val="009F7DF2"/>
    <w:rsid w:val="00A0178C"/>
    <w:rsid w:val="00A1270D"/>
    <w:rsid w:val="00A65F06"/>
    <w:rsid w:val="00AA56BD"/>
    <w:rsid w:val="00AC6072"/>
    <w:rsid w:val="00AF712A"/>
    <w:rsid w:val="00B1358B"/>
    <w:rsid w:val="00B14C16"/>
    <w:rsid w:val="00BA77AF"/>
    <w:rsid w:val="00BB7E6A"/>
    <w:rsid w:val="00BE3E97"/>
    <w:rsid w:val="00C22BEB"/>
    <w:rsid w:val="00C33217"/>
    <w:rsid w:val="00C848B6"/>
    <w:rsid w:val="00C93797"/>
    <w:rsid w:val="00D13DE9"/>
    <w:rsid w:val="00D474F3"/>
    <w:rsid w:val="00D923D8"/>
    <w:rsid w:val="00DD57C3"/>
    <w:rsid w:val="00E57E6B"/>
    <w:rsid w:val="00E91F67"/>
    <w:rsid w:val="00F01552"/>
    <w:rsid w:val="00F82EC5"/>
    <w:rsid w:val="00FA7510"/>
    <w:rsid w:val="00FE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F95C6"/>
  <w15:docId w15:val="{6FA302E8-4536-40F3-9F65-EDB4B05F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C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3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26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C6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806BD"/>
    <w:rPr>
      <w:color w:val="808080"/>
    </w:rPr>
  </w:style>
  <w:style w:type="character" w:customStyle="1" w:styleId="SmallNormal">
    <w:name w:val="Small Normal"/>
    <w:basedOn w:val="DefaultParagraphFont"/>
    <w:uiPriority w:val="1"/>
    <w:qFormat/>
    <w:rsid w:val="009806BD"/>
    <w:rPr>
      <w:rFonts w:asciiTheme="minorHAnsi" w:hAnsiTheme="minorHAnsi"/>
      <w:sz w:val="20"/>
    </w:rPr>
  </w:style>
  <w:style w:type="character" w:customStyle="1" w:styleId="SmallBoldNormal">
    <w:name w:val="Small Bold Normal"/>
    <w:basedOn w:val="DefaultParagraphFont"/>
    <w:uiPriority w:val="1"/>
    <w:qFormat/>
    <w:rsid w:val="009806BD"/>
    <w:rPr>
      <w:rFonts w:asciiTheme="minorHAnsi" w:hAnsiTheme="minorHAnsi"/>
      <w:b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A75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5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5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5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ABB01-D289-437B-AD2F-CE3609E83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Aotearoa SuperGrans</dc:creator>
  <cp:lastModifiedBy>Aotearoa SuperGrans</cp:lastModifiedBy>
  <cp:revision>4</cp:revision>
  <cp:lastPrinted>2016-01-18T21:44:00Z</cp:lastPrinted>
  <dcterms:created xsi:type="dcterms:W3CDTF">2016-11-01T00:31:00Z</dcterms:created>
  <dcterms:modified xsi:type="dcterms:W3CDTF">2016-11-01T00:32:00Z</dcterms:modified>
</cp:coreProperties>
</file>