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93897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F8E6D" wp14:editId="7CE7CB6D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73E4A4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F8E6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6073E4A4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63742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57.75pt" o:ole="">
            <v:imagedata r:id="rId8" o:title=""/>
          </v:shape>
          <o:OLEObject Type="Embed" ProgID="AcroExch.Document.11" ShapeID="_x0000_i1025" DrawAspect="Content" ObjectID="_1541597336" r:id="rId9"/>
        </w:object>
      </w:r>
    </w:p>
    <w:p w14:paraId="0AFC9C4D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1804E63B" w14:textId="77777777" w:rsidR="00D82048" w:rsidRPr="0049347B" w:rsidRDefault="00D82048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</w:rPr>
        <w:t>SuperGrans Aotearoa Inc. Governance Board meeting</w:t>
      </w:r>
    </w:p>
    <w:p w14:paraId="0F011803" w14:textId="48F309E9" w:rsidR="001A3DB6" w:rsidRPr="0049347B" w:rsidRDefault="00B4491C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  <w:vertAlign w:val="superscript"/>
        </w:rPr>
        <w:t>24t</w:t>
      </w:r>
      <w:r w:rsidR="005C3837" w:rsidRPr="0049347B">
        <w:rPr>
          <w:sz w:val="24"/>
          <w:szCs w:val="24"/>
          <w:vertAlign w:val="superscript"/>
        </w:rPr>
        <w:t>H</w:t>
      </w:r>
      <w:r w:rsidR="005C3837" w:rsidRPr="0049347B">
        <w:rPr>
          <w:sz w:val="24"/>
          <w:szCs w:val="24"/>
        </w:rPr>
        <w:t xml:space="preserve"> </w:t>
      </w:r>
      <w:r w:rsidRPr="0049347B">
        <w:rPr>
          <w:sz w:val="24"/>
          <w:szCs w:val="24"/>
        </w:rPr>
        <w:t>November</w:t>
      </w:r>
      <w:r w:rsidR="0022632C" w:rsidRPr="0049347B">
        <w:rPr>
          <w:sz w:val="24"/>
          <w:szCs w:val="24"/>
        </w:rPr>
        <w:t>, 2016</w:t>
      </w:r>
      <w:r w:rsidR="00674C5B" w:rsidRPr="0049347B">
        <w:rPr>
          <w:sz w:val="24"/>
          <w:szCs w:val="24"/>
        </w:rPr>
        <w:t xml:space="preserve"> </w:t>
      </w:r>
      <w:r w:rsidR="0049347B" w:rsidRPr="0049347B">
        <w:rPr>
          <w:sz w:val="24"/>
          <w:szCs w:val="24"/>
        </w:rPr>
        <w:t>–</w:t>
      </w:r>
      <w:r w:rsidR="00BF463F" w:rsidRPr="0049347B">
        <w:rPr>
          <w:sz w:val="24"/>
          <w:szCs w:val="24"/>
        </w:rPr>
        <w:t xml:space="preserve"> </w:t>
      </w:r>
      <w:r w:rsidR="00D773FA" w:rsidRPr="0049347B">
        <w:rPr>
          <w:sz w:val="24"/>
          <w:szCs w:val="24"/>
        </w:rPr>
        <w:t>Skype</w:t>
      </w:r>
      <w:r w:rsidR="0049347B" w:rsidRPr="0049347B">
        <w:rPr>
          <w:sz w:val="24"/>
          <w:szCs w:val="24"/>
        </w:rPr>
        <w:t xml:space="preserve"> and Gisborne</w:t>
      </w:r>
    </w:p>
    <w:p w14:paraId="3802F5DE" w14:textId="77777777" w:rsidR="009F6349" w:rsidRPr="0049347B" w:rsidRDefault="009F6349" w:rsidP="00965082">
      <w:pPr>
        <w:spacing w:after="0" w:line="240" w:lineRule="auto"/>
        <w:ind w:left="720"/>
        <w:rPr>
          <w:sz w:val="24"/>
          <w:szCs w:val="24"/>
        </w:rPr>
      </w:pPr>
    </w:p>
    <w:p w14:paraId="649F2A20" w14:textId="78328CC6" w:rsidR="00F22E2F" w:rsidRPr="0049347B" w:rsidRDefault="00C91674" w:rsidP="00081DBE">
      <w:pPr>
        <w:spacing w:after="0" w:line="240" w:lineRule="auto"/>
        <w:ind w:left="720"/>
        <w:rPr>
          <w:sz w:val="24"/>
          <w:szCs w:val="24"/>
        </w:rPr>
      </w:pPr>
      <w:r w:rsidRPr="0049347B">
        <w:rPr>
          <w:sz w:val="24"/>
          <w:szCs w:val="24"/>
        </w:rPr>
        <w:t xml:space="preserve">Present: </w:t>
      </w:r>
      <w:r w:rsidR="00BF463F" w:rsidRPr="0049347B">
        <w:rPr>
          <w:sz w:val="24"/>
          <w:szCs w:val="24"/>
        </w:rPr>
        <w:t>Basia Arn</w:t>
      </w:r>
      <w:r w:rsidR="0099201E" w:rsidRPr="0049347B">
        <w:rPr>
          <w:sz w:val="24"/>
          <w:szCs w:val="24"/>
        </w:rPr>
        <w:t>old, Marie Sutherland,</w:t>
      </w:r>
      <w:r w:rsidR="00BF463F" w:rsidRPr="0049347B">
        <w:rPr>
          <w:sz w:val="24"/>
          <w:szCs w:val="24"/>
        </w:rPr>
        <w:t xml:space="preserve"> Jim Corder,</w:t>
      </w:r>
      <w:r w:rsidR="00B4491C" w:rsidRPr="0049347B">
        <w:rPr>
          <w:sz w:val="24"/>
          <w:szCs w:val="24"/>
        </w:rPr>
        <w:t xml:space="preserve"> Linda Coulston, </w:t>
      </w:r>
      <w:r w:rsidR="00BF463F" w:rsidRPr="0049347B">
        <w:rPr>
          <w:sz w:val="24"/>
          <w:szCs w:val="24"/>
        </w:rPr>
        <w:t>Martha Kelly</w:t>
      </w:r>
    </w:p>
    <w:p w14:paraId="491FFDB8" w14:textId="27CF2484" w:rsidR="0022632C" w:rsidRPr="0049347B" w:rsidRDefault="00F22E2F" w:rsidP="00081DBE">
      <w:pPr>
        <w:spacing w:after="0" w:line="240" w:lineRule="auto"/>
        <w:ind w:left="720"/>
        <w:rPr>
          <w:sz w:val="24"/>
          <w:szCs w:val="24"/>
        </w:rPr>
      </w:pPr>
      <w:r w:rsidRPr="0049347B">
        <w:rPr>
          <w:sz w:val="24"/>
          <w:szCs w:val="24"/>
        </w:rPr>
        <w:t xml:space="preserve">      </w:t>
      </w:r>
    </w:p>
    <w:p w14:paraId="423DFDD6" w14:textId="42815F51" w:rsidR="00380413" w:rsidRPr="0049347B" w:rsidRDefault="005C3837" w:rsidP="00081DBE">
      <w:pPr>
        <w:spacing w:after="0" w:line="240" w:lineRule="auto"/>
        <w:ind w:left="720"/>
        <w:rPr>
          <w:sz w:val="24"/>
          <w:szCs w:val="24"/>
        </w:rPr>
      </w:pPr>
      <w:r w:rsidRPr="0049347B">
        <w:rPr>
          <w:sz w:val="24"/>
          <w:szCs w:val="24"/>
        </w:rPr>
        <w:t>Apolog</w:t>
      </w:r>
      <w:r w:rsidR="00081DBE" w:rsidRPr="0049347B">
        <w:rPr>
          <w:sz w:val="24"/>
          <w:szCs w:val="24"/>
        </w:rPr>
        <w:t>y</w:t>
      </w:r>
      <w:r w:rsidR="00D773FA" w:rsidRPr="0049347B">
        <w:rPr>
          <w:sz w:val="24"/>
          <w:szCs w:val="24"/>
        </w:rPr>
        <w:t xml:space="preserve">: </w:t>
      </w:r>
      <w:r w:rsidR="00B4491C" w:rsidRPr="0049347B">
        <w:rPr>
          <w:sz w:val="24"/>
          <w:szCs w:val="24"/>
        </w:rPr>
        <w:t>Kaye Arnott, Dianne Saunders</w:t>
      </w:r>
    </w:p>
    <w:p w14:paraId="50B893D9" w14:textId="77777777" w:rsidR="00081DBE" w:rsidRPr="0049347B" w:rsidRDefault="00081DBE" w:rsidP="00081DBE">
      <w:pPr>
        <w:spacing w:after="0" w:line="240" w:lineRule="auto"/>
        <w:ind w:left="720"/>
        <w:rPr>
          <w:sz w:val="24"/>
          <w:szCs w:val="24"/>
        </w:rPr>
      </w:pPr>
    </w:p>
    <w:p w14:paraId="5F3FC54B" w14:textId="1C059975" w:rsidR="00270F3C" w:rsidRPr="0049347B" w:rsidRDefault="005C3837" w:rsidP="00081DBE">
      <w:pPr>
        <w:spacing w:after="0" w:line="240" w:lineRule="auto"/>
        <w:ind w:left="720"/>
        <w:rPr>
          <w:sz w:val="24"/>
          <w:szCs w:val="24"/>
        </w:rPr>
      </w:pPr>
      <w:r w:rsidRPr="0049347B">
        <w:rPr>
          <w:sz w:val="24"/>
          <w:szCs w:val="24"/>
        </w:rPr>
        <w:t>A</w:t>
      </w:r>
      <w:r w:rsidR="00380413" w:rsidRPr="0049347B">
        <w:rPr>
          <w:sz w:val="24"/>
          <w:szCs w:val="24"/>
        </w:rPr>
        <w:t>pprov</w:t>
      </w:r>
      <w:r w:rsidRPr="0049347B">
        <w:rPr>
          <w:sz w:val="24"/>
          <w:szCs w:val="24"/>
        </w:rPr>
        <w:t xml:space="preserve">al of minutes dated </w:t>
      </w:r>
      <w:r w:rsidR="00EE1AB5" w:rsidRPr="0049347B">
        <w:rPr>
          <w:sz w:val="24"/>
          <w:szCs w:val="24"/>
        </w:rPr>
        <w:t>18</w:t>
      </w:r>
      <w:r w:rsidRPr="0049347B">
        <w:rPr>
          <w:sz w:val="24"/>
          <w:szCs w:val="24"/>
          <w:vertAlign w:val="superscript"/>
        </w:rPr>
        <w:t>th</w:t>
      </w:r>
      <w:r w:rsidRPr="0049347B">
        <w:rPr>
          <w:sz w:val="24"/>
          <w:szCs w:val="24"/>
        </w:rPr>
        <w:t xml:space="preserve"> </w:t>
      </w:r>
      <w:r w:rsidR="00EE1AB5" w:rsidRPr="0049347B">
        <w:rPr>
          <w:sz w:val="24"/>
          <w:szCs w:val="24"/>
        </w:rPr>
        <w:t>October</w:t>
      </w:r>
      <w:r w:rsidRPr="0049347B">
        <w:rPr>
          <w:sz w:val="24"/>
          <w:szCs w:val="24"/>
        </w:rPr>
        <w:t>, 2016</w:t>
      </w:r>
      <w:r w:rsidR="00CD42A9" w:rsidRPr="0049347B">
        <w:rPr>
          <w:sz w:val="24"/>
          <w:szCs w:val="24"/>
        </w:rPr>
        <w:t>: Moved Jim Corder/Seconded Marie Sutherland</w:t>
      </w:r>
    </w:p>
    <w:p w14:paraId="1DDCDEC5" w14:textId="77777777" w:rsidR="00CD42A9" w:rsidRPr="0049347B" w:rsidRDefault="00CD42A9" w:rsidP="00081DBE">
      <w:pPr>
        <w:spacing w:after="0" w:line="240" w:lineRule="auto"/>
        <w:ind w:left="720"/>
        <w:rPr>
          <w:sz w:val="24"/>
          <w:szCs w:val="24"/>
        </w:rPr>
      </w:pPr>
    </w:p>
    <w:p w14:paraId="635F0CD4" w14:textId="032B42F3" w:rsidR="00CD42A9" w:rsidRPr="0049347B" w:rsidRDefault="0049347B" w:rsidP="00081DBE">
      <w:pPr>
        <w:spacing w:after="0" w:line="240" w:lineRule="auto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Matters agreed</w:t>
      </w:r>
    </w:p>
    <w:p w14:paraId="7B5BD828" w14:textId="2979784C" w:rsidR="00CD42A9" w:rsidRPr="0049347B" w:rsidRDefault="00CD42A9" w:rsidP="00CD42A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Kaye Arnott has </w:t>
      </w:r>
      <w:r w:rsidR="0049347B" w:rsidRPr="0049347B">
        <w:rPr>
          <w:sz w:val="24"/>
          <w:szCs w:val="24"/>
        </w:rPr>
        <w:t xml:space="preserve">advised of her </w:t>
      </w:r>
      <w:r w:rsidRPr="0049347B">
        <w:rPr>
          <w:sz w:val="24"/>
          <w:szCs w:val="24"/>
        </w:rPr>
        <w:t>resign</w:t>
      </w:r>
      <w:r w:rsidR="0049347B" w:rsidRPr="0049347B">
        <w:rPr>
          <w:sz w:val="24"/>
          <w:szCs w:val="24"/>
        </w:rPr>
        <w:t xml:space="preserve">ation </w:t>
      </w:r>
      <w:r w:rsidRPr="0049347B">
        <w:rPr>
          <w:sz w:val="24"/>
          <w:szCs w:val="24"/>
        </w:rPr>
        <w:t xml:space="preserve">from the SGA board, the date to be clarified.  A request will be made to remain until the </w:t>
      </w:r>
      <w:r w:rsidR="00E83A46" w:rsidRPr="0049347B">
        <w:rPr>
          <w:sz w:val="24"/>
          <w:szCs w:val="24"/>
        </w:rPr>
        <w:t xml:space="preserve">next </w:t>
      </w:r>
      <w:r w:rsidRPr="0049347B">
        <w:rPr>
          <w:sz w:val="24"/>
          <w:szCs w:val="24"/>
        </w:rPr>
        <w:t xml:space="preserve">elections in March. Basia will write a letter to all SuperGrans boards regarding the </w:t>
      </w:r>
      <w:r w:rsidR="00E83A46" w:rsidRPr="0049347B">
        <w:rPr>
          <w:sz w:val="24"/>
          <w:szCs w:val="24"/>
        </w:rPr>
        <w:t>participation on the board as a</w:t>
      </w:r>
      <w:r w:rsidRPr="0049347B">
        <w:rPr>
          <w:sz w:val="24"/>
          <w:szCs w:val="24"/>
        </w:rPr>
        <w:t xml:space="preserve"> member.  </w:t>
      </w:r>
    </w:p>
    <w:p w14:paraId="7A072125" w14:textId="444EFE99" w:rsidR="00CD42A9" w:rsidRPr="0049347B" w:rsidRDefault="00CD42A9" w:rsidP="00CD42A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Treasurer situation: Frank Ball has agreed to be nominated </w:t>
      </w:r>
      <w:r w:rsidR="0049347B" w:rsidRPr="0049347B">
        <w:rPr>
          <w:sz w:val="24"/>
          <w:szCs w:val="24"/>
        </w:rPr>
        <w:t xml:space="preserve">as a </w:t>
      </w:r>
      <w:r w:rsidRPr="0049347B">
        <w:rPr>
          <w:sz w:val="24"/>
          <w:szCs w:val="24"/>
        </w:rPr>
        <w:t>board</w:t>
      </w:r>
      <w:r w:rsidR="0049347B" w:rsidRPr="0049347B">
        <w:rPr>
          <w:sz w:val="24"/>
          <w:szCs w:val="24"/>
        </w:rPr>
        <w:t xml:space="preserve"> member and to hold the Treasurer position</w:t>
      </w:r>
      <w:r w:rsidRPr="0049347B">
        <w:rPr>
          <w:sz w:val="24"/>
          <w:szCs w:val="24"/>
        </w:rPr>
        <w:t>. This was accepted by the board.</w:t>
      </w:r>
      <w:r w:rsidR="00E83A46" w:rsidRPr="0049347B">
        <w:rPr>
          <w:sz w:val="24"/>
          <w:szCs w:val="24"/>
        </w:rPr>
        <w:t xml:space="preserve"> </w:t>
      </w:r>
      <w:r w:rsidRPr="0049347B">
        <w:rPr>
          <w:sz w:val="24"/>
          <w:szCs w:val="24"/>
        </w:rPr>
        <w:t>Moved; Marie Sutherland/Seconded Jim Corder.</w:t>
      </w:r>
      <w:r w:rsidR="0049347B" w:rsidRPr="0049347B">
        <w:rPr>
          <w:sz w:val="24"/>
          <w:szCs w:val="24"/>
        </w:rPr>
        <w:t xml:space="preserve"> A l</w:t>
      </w:r>
      <w:r w:rsidR="0049347B" w:rsidRPr="0049347B">
        <w:rPr>
          <w:sz w:val="24"/>
          <w:szCs w:val="24"/>
        </w:rPr>
        <w:t xml:space="preserve">etter from </w:t>
      </w:r>
      <w:r w:rsidR="0049347B" w:rsidRPr="0049347B">
        <w:rPr>
          <w:sz w:val="24"/>
          <w:szCs w:val="24"/>
        </w:rPr>
        <w:t xml:space="preserve">the </w:t>
      </w:r>
      <w:r w:rsidR="0049347B" w:rsidRPr="0049347B">
        <w:rPr>
          <w:sz w:val="24"/>
          <w:szCs w:val="24"/>
        </w:rPr>
        <w:t xml:space="preserve">secretary </w:t>
      </w:r>
      <w:r w:rsidR="0049347B" w:rsidRPr="0049347B">
        <w:rPr>
          <w:sz w:val="24"/>
          <w:szCs w:val="24"/>
        </w:rPr>
        <w:t xml:space="preserve">is </w:t>
      </w:r>
      <w:r w:rsidR="0049347B" w:rsidRPr="0049347B">
        <w:rPr>
          <w:sz w:val="24"/>
          <w:szCs w:val="24"/>
        </w:rPr>
        <w:t>to be sent to formally advise Frank.</w:t>
      </w:r>
    </w:p>
    <w:p w14:paraId="75FAFD2B" w14:textId="77777777" w:rsidR="00CD42A9" w:rsidRPr="0049347B" w:rsidRDefault="00CD42A9" w:rsidP="00CD42A9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Strategy Review: It was agreed that:</w:t>
      </w:r>
    </w:p>
    <w:p w14:paraId="0B7B2C2A" w14:textId="3EE67ABD" w:rsidR="00CD42A9" w:rsidRPr="0049347B" w:rsidRDefault="00CD42A9" w:rsidP="00CD42A9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The goals remain the same for the next strat</w:t>
      </w:r>
      <w:r w:rsidR="0049347B" w:rsidRPr="0049347B">
        <w:rPr>
          <w:sz w:val="24"/>
          <w:szCs w:val="24"/>
        </w:rPr>
        <w:t>egy review</w:t>
      </w:r>
    </w:p>
    <w:p w14:paraId="456CEA0D" w14:textId="222D2634" w:rsidR="00CD42A9" w:rsidRPr="0049347B" w:rsidRDefault="00CD42A9" w:rsidP="00CD42A9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The strategy is to be dated 2016 onwards, rather than a specific end date </w:t>
      </w:r>
    </w:p>
    <w:p w14:paraId="7E5BC8A4" w14:textId="2AFF8252" w:rsidR="00CD42A9" w:rsidRPr="0049347B" w:rsidRDefault="00CD42A9" w:rsidP="00CD42A9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A review of </w:t>
      </w:r>
      <w:r w:rsidR="0049347B" w:rsidRPr="0049347B">
        <w:rPr>
          <w:sz w:val="24"/>
          <w:szCs w:val="24"/>
        </w:rPr>
        <w:t xml:space="preserve">the </w:t>
      </w:r>
      <w:r w:rsidRPr="0049347B">
        <w:rPr>
          <w:sz w:val="24"/>
          <w:szCs w:val="24"/>
        </w:rPr>
        <w:t xml:space="preserve">Goals and Action plan is to be developed for the February meeting </w:t>
      </w:r>
      <w:r w:rsidR="00A20752" w:rsidRPr="0049347B">
        <w:rPr>
          <w:sz w:val="24"/>
          <w:szCs w:val="24"/>
        </w:rPr>
        <w:t xml:space="preserve">so that it can be signed off at the AGM in March. Basia and Martha to work on this. </w:t>
      </w:r>
    </w:p>
    <w:p w14:paraId="0C747AD3" w14:textId="0BC2E5DC" w:rsidR="00A20752" w:rsidRPr="0049347B" w:rsidRDefault="00A20752" w:rsidP="00A20752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Annual Report: An addition to the 2015 report is to be a comment on key strategic goals for the next year. </w:t>
      </w:r>
    </w:p>
    <w:p w14:paraId="0C3C98E9" w14:textId="3BC76B41" w:rsidR="00A20752" w:rsidRPr="0049347B" w:rsidRDefault="00A20752" w:rsidP="00A20752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AGM and seminar 2017: Speakers to seek: </w:t>
      </w:r>
    </w:p>
    <w:p w14:paraId="4EF8D9C6" w14:textId="49DC427F" w:rsidR="00A20752" w:rsidRPr="0049347B" w:rsidRDefault="00A20752" w:rsidP="00A20752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MSD re. Individual Client Level Data</w:t>
      </w:r>
    </w:p>
    <w:p w14:paraId="6C6A6CC9" w14:textId="08F6A195" w:rsidR="00A20752" w:rsidRPr="0049347B" w:rsidRDefault="00A20752" w:rsidP="00A20752">
      <w:pPr>
        <w:pStyle w:val="ListParagraph"/>
        <w:numPr>
          <w:ilvl w:val="1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Using research to promote your services (</w:t>
      </w:r>
      <w:proofErr w:type="spellStart"/>
      <w:r w:rsidRPr="0049347B">
        <w:rPr>
          <w:sz w:val="24"/>
          <w:szCs w:val="24"/>
        </w:rPr>
        <w:t>eg</w:t>
      </w:r>
      <w:proofErr w:type="spellEnd"/>
      <w:r w:rsidRPr="0049347B">
        <w:rPr>
          <w:sz w:val="24"/>
          <w:szCs w:val="24"/>
        </w:rPr>
        <w:t>. Community Research Group)</w:t>
      </w:r>
    </w:p>
    <w:p w14:paraId="21EFD622" w14:textId="3C16EB65" w:rsidR="00A20752" w:rsidRPr="0049347B" w:rsidRDefault="00A20752" w:rsidP="00A20752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2017 SGA board meeting dates: Adopted as per the proposed timetable distributed. Moved Jim Corder/Seconded Linda Coulston</w:t>
      </w:r>
    </w:p>
    <w:p w14:paraId="5CBF907D" w14:textId="7DFAE5F8" w:rsidR="00A20752" w:rsidRPr="0049347B" w:rsidRDefault="00A20752" w:rsidP="00A20752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Tindall funding application: </w:t>
      </w:r>
      <w:r w:rsidR="003A190E" w:rsidRPr="0049347B">
        <w:rPr>
          <w:sz w:val="24"/>
          <w:szCs w:val="24"/>
        </w:rPr>
        <w:t>As per the ‘alternative proposal’ of the options distributed, SGA is to apply to The Tindall Foundation for 2 years wages at the current rate of pay and hours of work, starting 21.04.17. Moved: Jim Corder/Seconded: Linda Coulston.</w:t>
      </w:r>
    </w:p>
    <w:p w14:paraId="44C61405" w14:textId="53498423" w:rsidR="003A190E" w:rsidRPr="0049347B" w:rsidRDefault="003A190E" w:rsidP="00A20752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Lotteries Grant allocation: Approved as per the recommendation submitted. Martha to amend budget accordingly.  </w:t>
      </w:r>
    </w:p>
    <w:p w14:paraId="252FA4A9" w14:textId="3E99DC0A" w:rsidR="00FA1CAD" w:rsidRDefault="00FA1CAD" w:rsidP="00A20752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>National Coordinator annual leave: Approved as requested – 28, 29 &amp; 30/12/16; 4</w:t>
      </w:r>
      <w:proofErr w:type="gramStart"/>
      <w:r w:rsidRPr="0049347B">
        <w:rPr>
          <w:sz w:val="24"/>
          <w:szCs w:val="24"/>
        </w:rPr>
        <w:t>,5</w:t>
      </w:r>
      <w:proofErr w:type="gramEnd"/>
      <w:r w:rsidRPr="0049347B">
        <w:rPr>
          <w:sz w:val="24"/>
          <w:szCs w:val="24"/>
        </w:rPr>
        <w:t xml:space="preserve"> &amp; 6/1/17; 23 &amp; 24/3/17.</w:t>
      </w:r>
    </w:p>
    <w:p w14:paraId="059FA15B" w14:textId="4E8BCD52" w:rsidR="0049347B" w:rsidRPr="0049347B" w:rsidRDefault="0049347B" w:rsidP="0049347B">
      <w:pPr>
        <w:spacing w:after="0" w:line="240" w:lineRule="auto"/>
        <w:ind w:firstLine="720"/>
        <w:rPr>
          <w:b/>
          <w:sz w:val="24"/>
          <w:szCs w:val="24"/>
        </w:rPr>
      </w:pPr>
      <w:r w:rsidRPr="0049347B">
        <w:rPr>
          <w:b/>
          <w:sz w:val="24"/>
          <w:szCs w:val="24"/>
        </w:rPr>
        <w:t>Reports</w:t>
      </w:r>
    </w:p>
    <w:p w14:paraId="19F77166" w14:textId="4C31950B" w:rsidR="003A190E" w:rsidRPr="0049347B" w:rsidRDefault="00FA1CAD" w:rsidP="00A20752">
      <w:pPr>
        <w:pStyle w:val="ListParagraph"/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49347B">
        <w:rPr>
          <w:sz w:val="24"/>
          <w:szCs w:val="24"/>
        </w:rPr>
        <w:t xml:space="preserve">Creditors report, Correspondence report, </w:t>
      </w:r>
      <w:proofErr w:type="gramStart"/>
      <w:r w:rsidRPr="0049347B">
        <w:rPr>
          <w:sz w:val="24"/>
          <w:szCs w:val="24"/>
        </w:rPr>
        <w:t>Financial</w:t>
      </w:r>
      <w:proofErr w:type="gramEnd"/>
      <w:r w:rsidRPr="0049347B">
        <w:rPr>
          <w:sz w:val="24"/>
          <w:szCs w:val="24"/>
        </w:rPr>
        <w:t xml:space="preserve"> reports, Risk report and National Coordinator report read and accepted. </w:t>
      </w:r>
    </w:p>
    <w:p w14:paraId="507C0DD0" w14:textId="77777777" w:rsidR="00CD42A9" w:rsidRPr="0049347B" w:rsidRDefault="00CD42A9" w:rsidP="00081DBE">
      <w:pPr>
        <w:spacing w:after="0" w:line="240" w:lineRule="auto"/>
        <w:ind w:left="720"/>
        <w:rPr>
          <w:sz w:val="24"/>
          <w:szCs w:val="24"/>
        </w:rPr>
      </w:pPr>
    </w:p>
    <w:p w14:paraId="540CD900" w14:textId="77777777" w:rsidR="00081DBE" w:rsidRDefault="00081DBE" w:rsidP="00081DBE">
      <w:pPr>
        <w:spacing w:after="0" w:line="240" w:lineRule="auto"/>
        <w:ind w:left="720"/>
      </w:pPr>
    </w:p>
    <w:p w14:paraId="7EB7C855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6B8D6A40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005"/>
        <w:gridCol w:w="4078"/>
        <w:gridCol w:w="2835"/>
      </w:tblGrid>
      <w:tr w:rsidR="00F3271B" w14:paraId="2F2FBE32" w14:textId="77777777" w:rsidTr="00CF2AF5">
        <w:trPr>
          <w:trHeight w:val="406"/>
        </w:trPr>
        <w:tc>
          <w:tcPr>
            <w:tcW w:w="3005" w:type="dxa"/>
          </w:tcPr>
          <w:p w14:paraId="2B31FF61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4078" w:type="dxa"/>
          </w:tcPr>
          <w:p w14:paraId="381EF5E5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16CC1AE0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5C2425" w14:paraId="1AACBED7" w14:textId="77777777" w:rsidTr="00CF2AF5">
        <w:trPr>
          <w:trHeight w:val="406"/>
        </w:trPr>
        <w:tc>
          <w:tcPr>
            <w:tcW w:w="3005" w:type="dxa"/>
          </w:tcPr>
          <w:p w14:paraId="55A04E31" w14:textId="5EB8D1F8" w:rsidR="005C2425" w:rsidRPr="004300AB" w:rsidRDefault="00E83A46" w:rsidP="00566FCA">
            <w:r>
              <w:t>Basia</w:t>
            </w:r>
          </w:p>
        </w:tc>
        <w:tc>
          <w:tcPr>
            <w:tcW w:w="4078" w:type="dxa"/>
          </w:tcPr>
          <w:p w14:paraId="01E49954" w14:textId="0E964FE9" w:rsidR="005C2425" w:rsidRPr="004300AB" w:rsidRDefault="00E83A46" w:rsidP="00566FCA">
            <w:r>
              <w:t xml:space="preserve">Respond to Kaye Arnott resignation. Request to remain until next elections. </w:t>
            </w:r>
          </w:p>
        </w:tc>
        <w:tc>
          <w:tcPr>
            <w:tcW w:w="2835" w:type="dxa"/>
          </w:tcPr>
          <w:p w14:paraId="39DAD1BB" w14:textId="1E5DC68A" w:rsidR="005C2425" w:rsidRPr="004300AB" w:rsidRDefault="00E83A46" w:rsidP="00E83A46">
            <w:r>
              <w:t>Asap</w:t>
            </w:r>
          </w:p>
        </w:tc>
      </w:tr>
      <w:tr w:rsidR="005C2425" w14:paraId="1D3899B5" w14:textId="77777777" w:rsidTr="00CF2AF5">
        <w:trPr>
          <w:trHeight w:val="406"/>
        </w:trPr>
        <w:tc>
          <w:tcPr>
            <w:tcW w:w="3005" w:type="dxa"/>
          </w:tcPr>
          <w:p w14:paraId="702208A8" w14:textId="67F8AB33" w:rsidR="005C2425" w:rsidRPr="00604949" w:rsidRDefault="00E83A46" w:rsidP="00566FCA">
            <w:r>
              <w:t>Basia</w:t>
            </w:r>
          </w:p>
        </w:tc>
        <w:tc>
          <w:tcPr>
            <w:tcW w:w="4078" w:type="dxa"/>
          </w:tcPr>
          <w:p w14:paraId="64B30AF7" w14:textId="49CCAFF3" w:rsidR="005C2425" w:rsidRPr="00AA47CC" w:rsidRDefault="00E83A46" w:rsidP="00566FCA">
            <w:r>
              <w:t>Letter to SG boards regarding new members for SGA board.</w:t>
            </w:r>
          </w:p>
        </w:tc>
        <w:tc>
          <w:tcPr>
            <w:tcW w:w="2835" w:type="dxa"/>
          </w:tcPr>
          <w:p w14:paraId="43B8A256" w14:textId="4C86D0BF" w:rsidR="005C2425" w:rsidRPr="00420854" w:rsidRDefault="00E83A46" w:rsidP="00566FCA">
            <w:r>
              <w:t>When Kaye responded to resignation date</w:t>
            </w:r>
          </w:p>
        </w:tc>
      </w:tr>
      <w:tr w:rsidR="00E83A46" w14:paraId="3179FA9B" w14:textId="77777777" w:rsidTr="00CF2AF5">
        <w:trPr>
          <w:trHeight w:val="406"/>
        </w:trPr>
        <w:tc>
          <w:tcPr>
            <w:tcW w:w="3005" w:type="dxa"/>
          </w:tcPr>
          <w:p w14:paraId="6A4F7DE6" w14:textId="2F8FE8D9" w:rsidR="00E83A46" w:rsidRDefault="00E83A46" w:rsidP="00566FCA">
            <w:r>
              <w:t>Basia</w:t>
            </w:r>
          </w:p>
        </w:tc>
        <w:tc>
          <w:tcPr>
            <w:tcW w:w="4078" w:type="dxa"/>
          </w:tcPr>
          <w:p w14:paraId="069DCC9B" w14:textId="3EE48CD2" w:rsidR="00E83A46" w:rsidRDefault="00E83A46" w:rsidP="00566FCA">
            <w:r>
              <w:t>SGA Policies completion</w:t>
            </w:r>
          </w:p>
        </w:tc>
        <w:tc>
          <w:tcPr>
            <w:tcW w:w="2835" w:type="dxa"/>
          </w:tcPr>
          <w:p w14:paraId="6EBF06EF" w14:textId="60FB32C6" w:rsidR="00E83A46" w:rsidRDefault="00E83A46" w:rsidP="00566FCA">
            <w:r>
              <w:t>Ongoing</w:t>
            </w:r>
          </w:p>
        </w:tc>
      </w:tr>
      <w:tr w:rsidR="00BE4092" w14:paraId="34F215BE" w14:textId="77777777" w:rsidTr="00CF2AF5">
        <w:trPr>
          <w:trHeight w:val="406"/>
        </w:trPr>
        <w:tc>
          <w:tcPr>
            <w:tcW w:w="3005" w:type="dxa"/>
          </w:tcPr>
          <w:p w14:paraId="01DA8901" w14:textId="4638D97D" w:rsidR="00BE4092" w:rsidRDefault="00BE4092" w:rsidP="00566FCA">
            <w:r>
              <w:t>Basia</w:t>
            </w:r>
          </w:p>
        </w:tc>
        <w:tc>
          <w:tcPr>
            <w:tcW w:w="4078" w:type="dxa"/>
          </w:tcPr>
          <w:p w14:paraId="37C68E5B" w14:textId="456E1E5B" w:rsidR="00BE4092" w:rsidRDefault="00BE4092" w:rsidP="00BE4092">
            <w:r>
              <w:t xml:space="preserve">Review proposed Strategy goals and actions. </w:t>
            </w:r>
          </w:p>
        </w:tc>
        <w:tc>
          <w:tcPr>
            <w:tcW w:w="2835" w:type="dxa"/>
          </w:tcPr>
          <w:p w14:paraId="57500C3B" w14:textId="6C10392B" w:rsidR="00BE4092" w:rsidRDefault="00BE4092" w:rsidP="00566FCA">
            <w:r>
              <w:t>When received from National Coordinator</w:t>
            </w:r>
          </w:p>
        </w:tc>
      </w:tr>
      <w:tr w:rsidR="00FF309F" w14:paraId="3DD3C823" w14:textId="77777777" w:rsidTr="00CF2AF5">
        <w:trPr>
          <w:trHeight w:val="406"/>
        </w:trPr>
        <w:tc>
          <w:tcPr>
            <w:tcW w:w="3005" w:type="dxa"/>
          </w:tcPr>
          <w:p w14:paraId="0CD064F0" w14:textId="00B1BF49" w:rsidR="00FF309F" w:rsidRDefault="00FF309F" w:rsidP="00566FCA">
            <w:r>
              <w:t>Basia</w:t>
            </w:r>
          </w:p>
        </w:tc>
        <w:tc>
          <w:tcPr>
            <w:tcW w:w="4078" w:type="dxa"/>
          </w:tcPr>
          <w:p w14:paraId="31BD0868" w14:textId="3E03FB75" w:rsidR="00FF309F" w:rsidRDefault="00FF309F" w:rsidP="00BE4092">
            <w:r>
              <w:t xml:space="preserve">Review Annual Report draft </w:t>
            </w:r>
          </w:p>
        </w:tc>
        <w:tc>
          <w:tcPr>
            <w:tcW w:w="2835" w:type="dxa"/>
          </w:tcPr>
          <w:p w14:paraId="3BF8409E" w14:textId="123E8DF8" w:rsidR="00FF309F" w:rsidRDefault="00FF309F" w:rsidP="00566FCA">
            <w:r>
              <w:t>When received from National Coordinator</w:t>
            </w:r>
          </w:p>
        </w:tc>
      </w:tr>
      <w:tr w:rsidR="00E83A46" w14:paraId="49E746A5" w14:textId="77777777" w:rsidTr="00CF2AF5">
        <w:trPr>
          <w:trHeight w:val="406"/>
        </w:trPr>
        <w:tc>
          <w:tcPr>
            <w:tcW w:w="3005" w:type="dxa"/>
          </w:tcPr>
          <w:p w14:paraId="5FF819C1" w14:textId="488DF844" w:rsidR="00E83A46" w:rsidRDefault="00E83A46" w:rsidP="00566FCA">
            <w:r>
              <w:t>Dianne</w:t>
            </w:r>
          </w:p>
        </w:tc>
        <w:tc>
          <w:tcPr>
            <w:tcW w:w="4078" w:type="dxa"/>
          </w:tcPr>
          <w:p w14:paraId="4C00E30B" w14:textId="097A17C2" w:rsidR="00E83A46" w:rsidRDefault="00E83A46" w:rsidP="00566FCA">
            <w:r>
              <w:t>Letter to Frank Ball confirming appointment to board as Treasurer</w:t>
            </w:r>
          </w:p>
        </w:tc>
        <w:tc>
          <w:tcPr>
            <w:tcW w:w="2835" w:type="dxa"/>
          </w:tcPr>
          <w:p w14:paraId="59130658" w14:textId="2BEE12CB" w:rsidR="00E83A46" w:rsidRDefault="00E83A46" w:rsidP="00566FCA">
            <w:r>
              <w:t>Asap</w:t>
            </w:r>
          </w:p>
        </w:tc>
      </w:tr>
    </w:tbl>
    <w:p w14:paraId="19D02BF1" w14:textId="77777777" w:rsidR="00FF5033" w:rsidRDefault="00FF5033" w:rsidP="005C2425">
      <w:pPr>
        <w:jc w:val="center"/>
        <w:rPr>
          <w:b/>
        </w:rPr>
      </w:pPr>
    </w:p>
    <w:p w14:paraId="0EDA1EB5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83"/>
        <w:gridCol w:w="2835"/>
      </w:tblGrid>
      <w:tr w:rsidR="005C2425" w:rsidRPr="00A218FD" w14:paraId="6E288691" w14:textId="77777777" w:rsidTr="00CF2AF5">
        <w:trPr>
          <w:trHeight w:val="406"/>
        </w:trPr>
        <w:tc>
          <w:tcPr>
            <w:tcW w:w="7083" w:type="dxa"/>
          </w:tcPr>
          <w:p w14:paraId="60D8B16F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741BEB8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604949" w:rsidRPr="00A218FD" w14:paraId="69418300" w14:textId="77777777" w:rsidTr="00CF2AF5">
        <w:trPr>
          <w:trHeight w:val="313"/>
        </w:trPr>
        <w:tc>
          <w:tcPr>
            <w:tcW w:w="7083" w:type="dxa"/>
          </w:tcPr>
          <w:p w14:paraId="04CEF09B" w14:textId="49033B04" w:rsidR="00604949" w:rsidRPr="00604949" w:rsidRDefault="00FF309F" w:rsidP="00FF309F">
            <w:r>
              <w:t xml:space="preserve">Strategy goals and action review as discussion document </w:t>
            </w:r>
          </w:p>
        </w:tc>
        <w:tc>
          <w:tcPr>
            <w:tcW w:w="2835" w:type="dxa"/>
          </w:tcPr>
          <w:p w14:paraId="11F11865" w14:textId="31371136" w:rsidR="00604949" w:rsidRPr="00A022E4" w:rsidRDefault="00FF309F" w:rsidP="006A1DA7">
            <w:r>
              <w:t>December</w:t>
            </w:r>
          </w:p>
        </w:tc>
      </w:tr>
      <w:tr w:rsidR="008F0DB9" w:rsidRPr="00A218FD" w14:paraId="33C9F200" w14:textId="77777777" w:rsidTr="00CF2AF5">
        <w:trPr>
          <w:trHeight w:val="364"/>
        </w:trPr>
        <w:tc>
          <w:tcPr>
            <w:tcW w:w="7083" w:type="dxa"/>
          </w:tcPr>
          <w:p w14:paraId="0C91F836" w14:textId="289C19F6" w:rsidR="008F0DB9" w:rsidRDefault="00FF309F" w:rsidP="00604949">
            <w:r>
              <w:t xml:space="preserve">Draft Annual Report </w:t>
            </w:r>
          </w:p>
        </w:tc>
        <w:tc>
          <w:tcPr>
            <w:tcW w:w="2835" w:type="dxa"/>
          </w:tcPr>
          <w:p w14:paraId="56EBEC02" w14:textId="079CC7F0" w:rsidR="008F0DB9" w:rsidRPr="00A022E4" w:rsidRDefault="00FF309F" w:rsidP="006A1DA7">
            <w:r>
              <w:t>December</w:t>
            </w:r>
          </w:p>
        </w:tc>
      </w:tr>
      <w:tr w:rsidR="00137382" w:rsidRPr="00A218FD" w14:paraId="13DEE01F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23BF5CBE" w14:textId="04D92DF3" w:rsidR="00137382" w:rsidRPr="00137382" w:rsidRDefault="00FF309F" w:rsidP="00CC25C0">
            <w:r>
              <w:t>Seek speakers for AGM seminar as per minutes</w:t>
            </w:r>
          </w:p>
        </w:tc>
        <w:tc>
          <w:tcPr>
            <w:tcW w:w="2835" w:type="dxa"/>
            <w:vAlign w:val="center"/>
          </w:tcPr>
          <w:p w14:paraId="7F55A66F" w14:textId="1AC4885D" w:rsidR="00137382" w:rsidRPr="00137382" w:rsidRDefault="00FF309F" w:rsidP="00CC25C0">
            <w:r>
              <w:t>Asap</w:t>
            </w:r>
          </w:p>
        </w:tc>
      </w:tr>
      <w:tr w:rsidR="00137382" w:rsidRPr="00A218FD" w14:paraId="266DC9D5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6848B909" w14:textId="401E870B" w:rsidR="00137382" w:rsidRPr="00137382" w:rsidRDefault="00C96566" w:rsidP="00CC25C0">
            <w:r>
              <w:t>Prepare Tindall Foundation Application for funding</w:t>
            </w:r>
          </w:p>
        </w:tc>
        <w:tc>
          <w:tcPr>
            <w:tcW w:w="2835" w:type="dxa"/>
            <w:vAlign w:val="center"/>
          </w:tcPr>
          <w:p w14:paraId="48EF7BD1" w14:textId="6E2F849D" w:rsidR="00137382" w:rsidRPr="00137382" w:rsidRDefault="00C96566" w:rsidP="00CC25C0">
            <w:r>
              <w:t>December</w:t>
            </w:r>
          </w:p>
        </w:tc>
      </w:tr>
      <w:tr w:rsidR="00137382" w:rsidRPr="00A218FD" w14:paraId="7F68D399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5CE4C01A" w14:textId="33E6D57A" w:rsidR="00137382" w:rsidRDefault="00C96566" w:rsidP="00CC25C0">
            <w:r>
              <w:t>Revise budget in accordance with approved allocation of Lotteries funding</w:t>
            </w:r>
          </w:p>
        </w:tc>
        <w:tc>
          <w:tcPr>
            <w:tcW w:w="2835" w:type="dxa"/>
            <w:vAlign w:val="center"/>
          </w:tcPr>
          <w:p w14:paraId="4EAA8979" w14:textId="39986DA8" w:rsidR="00137382" w:rsidRDefault="00C96566" w:rsidP="00CC25C0">
            <w:r>
              <w:t>Asap</w:t>
            </w:r>
          </w:p>
        </w:tc>
      </w:tr>
    </w:tbl>
    <w:p w14:paraId="725AA969" w14:textId="77777777" w:rsidR="00FA1CAD" w:rsidRDefault="00FA1CAD">
      <w:pPr>
        <w:spacing w:after="0"/>
        <w:ind w:left="720"/>
      </w:pPr>
    </w:p>
    <w:p w14:paraId="27375F94" w14:textId="77777777" w:rsidR="0049347B" w:rsidRDefault="0049347B">
      <w:pPr>
        <w:spacing w:after="0"/>
        <w:ind w:left="720"/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FA1CAD" w14:paraId="03666403" w14:textId="77777777" w:rsidTr="00CF2AF5">
        <w:tc>
          <w:tcPr>
            <w:tcW w:w="7088" w:type="dxa"/>
          </w:tcPr>
          <w:p w14:paraId="0D0B4A28" w14:textId="3818A190" w:rsidR="00FA1CAD" w:rsidRPr="00FA1CAD" w:rsidRDefault="00FA1CAD">
            <w:pPr>
              <w:spacing w:after="0"/>
              <w:rPr>
                <w:b/>
              </w:rPr>
            </w:pPr>
            <w:r w:rsidRPr="00FA1CAD">
              <w:rPr>
                <w:b/>
              </w:rPr>
              <w:t>Carry forward to next meeting</w:t>
            </w:r>
            <w:r>
              <w:rPr>
                <w:b/>
              </w:rPr>
              <w:t xml:space="preserve"> </w:t>
            </w:r>
            <w:r w:rsidR="00EC543C">
              <w:rPr>
                <w:b/>
              </w:rPr>
              <w:t>(Unless resolved prior)</w:t>
            </w:r>
          </w:p>
        </w:tc>
        <w:tc>
          <w:tcPr>
            <w:tcW w:w="2835" w:type="dxa"/>
          </w:tcPr>
          <w:p w14:paraId="0528A59E" w14:textId="77777777" w:rsidR="00FA1CAD" w:rsidRDefault="00FA1CAD">
            <w:pPr>
              <w:spacing w:after="0"/>
            </w:pPr>
          </w:p>
        </w:tc>
      </w:tr>
      <w:tr w:rsidR="00FA1CAD" w14:paraId="70E7A60B" w14:textId="77777777" w:rsidTr="00CF2AF5">
        <w:tc>
          <w:tcPr>
            <w:tcW w:w="7088" w:type="dxa"/>
          </w:tcPr>
          <w:p w14:paraId="0A1770C1" w14:textId="0AA9B7FC" w:rsidR="00FA1CAD" w:rsidRDefault="00FA1CAD">
            <w:pPr>
              <w:spacing w:after="0"/>
            </w:pPr>
            <w:r>
              <w:t>Data collation plan</w:t>
            </w:r>
          </w:p>
        </w:tc>
        <w:tc>
          <w:tcPr>
            <w:tcW w:w="2835" w:type="dxa"/>
          </w:tcPr>
          <w:p w14:paraId="404D4F4A" w14:textId="77777777" w:rsidR="00EC543C" w:rsidRDefault="00EC543C">
            <w:pPr>
              <w:spacing w:after="0"/>
            </w:pPr>
          </w:p>
        </w:tc>
      </w:tr>
      <w:tr w:rsidR="00FA1CAD" w14:paraId="06578C60" w14:textId="77777777" w:rsidTr="00CF2AF5">
        <w:tc>
          <w:tcPr>
            <w:tcW w:w="7088" w:type="dxa"/>
          </w:tcPr>
          <w:p w14:paraId="01D9DDE0" w14:textId="70E85BAC" w:rsidR="00EC543C" w:rsidRDefault="00FA1CAD" w:rsidP="00CF2AF5">
            <w:pPr>
              <w:spacing w:after="0"/>
            </w:pPr>
            <w:r>
              <w:t>Statutory Liability Insurance</w:t>
            </w:r>
          </w:p>
        </w:tc>
        <w:tc>
          <w:tcPr>
            <w:tcW w:w="2835" w:type="dxa"/>
          </w:tcPr>
          <w:p w14:paraId="1E2180D1" w14:textId="77777777" w:rsidR="00FA1CAD" w:rsidRDefault="00FA1CAD">
            <w:pPr>
              <w:spacing w:after="0"/>
            </w:pPr>
          </w:p>
        </w:tc>
      </w:tr>
      <w:tr w:rsidR="00FA1CAD" w14:paraId="0F2A6DE8" w14:textId="77777777" w:rsidTr="00CF2AF5">
        <w:tc>
          <w:tcPr>
            <w:tcW w:w="7088" w:type="dxa"/>
          </w:tcPr>
          <w:p w14:paraId="67B0FD10" w14:textId="1D11C26F" w:rsidR="00EC543C" w:rsidRDefault="00FA1CAD" w:rsidP="00CF2AF5">
            <w:pPr>
              <w:spacing w:after="0"/>
            </w:pPr>
            <w:r>
              <w:t>Risk Register review</w:t>
            </w:r>
          </w:p>
        </w:tc>
        <w:tc>
          <w:tcPr>
            <w:tcW w:w="2835" w:type="dxa"/>
          </w:tcPr>
          <w:p w14:paraId="0BE945E1" w14:textId="77777777" w:rsidR="00FA1CAD" w:rsidRDefault="00FA1CAD">
            <w:pPr>
              <w:spacing w:after="0"/>
            </w:pPr>
          </w:p>
        </w:tc>
      </w:tr>
    </w:tbl>
    <w:p w14:paraId="1B221FED" w14:textId="77777777" w:rsidR="00FA1CAD" w:rsidRDefault="00FA1CAD">
      <w:pPr>
        <w:spacing w:after="0"/>
        <w:ind w:left="720"/>
      </w:pPr>
    </w:p>
    <w:p w14:paraId="15B36F07" w14:textId="4CCEF616" w:rsidR="00210305" w:rsidRDefault="00210305" w:rsidP="00CF2AF5">
      <w:pPr>
        <w:spacing w:after="0"/>
      </w:pPr>
      <w:r>
        <w:t xml:space="preserve">Confirmed as being a true and accurate record of this meeting: </w:t>
      </w:r>
    </w:p>
    <w:p w14:paraId="1FB70F34" w14:textId="77777777" w:rsidR="00210305" w:rsidRDefault="00210305" w:rsidP="00CF2AF5">
      <w:pPr>
        <w:spacing w:after="0"/>
      </w:pPr>
    </w:p>
    <w:p w14:paraId="3AC38CAC" w14:textId="4EB49F42" w:rsidR="00210305" w:rsidRDefault="00210305" w:rsidP="00CF2AF5">
      <w:pPr>
        <w:spacing w:after="0"/>
      </w:pPr>
      <w:r>
        <w:t>Signed</w:t>
      </w:r>
      <w:proofErr w:type="gramStart"/>
      <w:r>
        <w:t>:………………………………………………………..</w:t>
      </w:r>
      <w:proofErr w:type="gramEnd"/>
      <w:r>
        <w:t xml:space="preserve"> </w:t>
      </w:r>
    </w:p>
    <w:p w14:paraId="04551288" w14:textId="77777777" w:rsidR="00210305" w:rsidRDefault="00210305" w:rsidP="00CF2AF5">
      <w:pPr>
        <w:spacing w:after="0"/>
      </w:pPr>
    </w:p>
    <w:p w14:paraId="024E7522" w14:textId="65D0E985" w:rsidR="00210305" w:rsidRDefault="00210305" w:rsidP="00CF2AF5">
      <w:pPr>
        <w:spacing w:after="0"/>
      </w:pPr>
      <w:r>
        <w:t>Name: Dianne Saunders (Secretary)</w:t>
      </w:r>
    </w:p>
    <w:p w14:paraId="2C4ECB10" w14:textId="77777777" w:rsidR="00210305" w:rsidRDefault="00210305" w:rsidP="00CF2AF5">
      <w:pPr>
        <w:spacing w:after="0"/>
      </w:pPr>
      <w:bookmarkStart w:id="0" w:name="_GoBack"/>
      <w:bookmarkEnd w:id="0"/>
    </w:p>
    <w:p w14:paraId="1A9B82D0" w14:textId="1A85769D" w:rsidR="00210305" w:rsidRDefault="00210305" w:rsidP="00CF2AF5">
      <w:pPr>
        <w:spacing w:after="0"/>
      </w:pPr>
      <w:r>
        <w:t>Date: ……………………………</w:t>
      </w:r>
    </w:p>
    <w:sectPr w:rsidR="00210305" w:rsidSect="00081DBE">
      <w:footerReference w:type="default" r:id="rId10"/>
      <w:pgSz w:w="11906" w:h="16838"/>
      <w:pgMar w:top="454" w:right="1077" w:bottom="45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7422F" w14:textId="77777777" w:rsidR="000733DD" w:rsidRDefault="000733DD" w:rsidP="00674C5B">
      <w:pPr>
        <w:spacing w:after="0" w:line="240" w:lineRule="auto"/>
      </w:pPr>
      <w:r>
        <w:separator/>
      </w:r>
    </w:p>
  </w:endnote>
  <w:endnote w:type="continuationSeparator" w:id="0">
    <w:p w14:paraId="070FA6E0" w14:textId="77777777" w:rsidR="000733DD" w:rsidRDefault="000733DD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880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FFFF38" w14:textId="62F0C658" w:rsidR="00BC3CC2" w:rsidRDefault="00BC3C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A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1249AA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13C1E" w14:textId="77777777" w:rsidR="000733DD" w:rsidRDefault="000733DD" w:rsidP="00674C5B">
      <w:pPr>
        <w:spacing w:after="0" w:line="240" w:lineRule="auto"/>
      </w:pPr>
      <w:r>
        <w:separator/>
      </w:r>
    </w:p>
  </w:footnote>
  <w:footnote w:type="continuationSeparator" w:id="0">
    <w:p w14:paraId="12BBF3F0" w14:textId="77777777" w:rsidR="000733DD" w:rsidRDefault="000733DD" w:rsidP="00674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2C86"/>
    <w:rsid w:val="000223C4"/>
    <w:rsid w:val="000321F9"/>
    <w:rsid w:val="00061918"/>
    <w:rsid w:val="000634E9"/>
    <w:rsid w:val="000706CB"/>
    <w:rsid w:val="00070E03"/>
    <w:rsid w:val="000733DD"/>
    <w:rsid w:val="00081DBE"/>
    <w:rsid w:val="00091D14"/>
    <w:rsid w:val="00096485"/>
    <w:rsid w:val="000A2CD4"/>
    <w:rsid w:val="000C7002"/>
    <w:rsid w:val="000F1414"/>
    <w:rsid w:val="000F62E2"/>
    <w:rsid w:val="000F76A6"/>
    <w:rsid w:val="00113A3E"/>
    <w:rsid w:val="001362AF"/>
    <w:rsid w:val="00137382"/>
    <w:rsid w:val="0014127F"/>
    <w:rsid w:val="00165A1F"/>
    <w:rsid w:val="00165A79"/>
    <w:rsid w:val="001A3DB6"/>
    <w:rsid w:val="001C1180"/>
    <w:rsid w:val="001C33C3"/>
    <w:rsid w:val="001C3FC1"/>
    <w:rsid w:val="001D172E"/>
    <w:rsid w:val="001E1BB5"/>
    <w:rsid w:val="001F78C4"/>
    <w:rsid w:val="00201A1E"/>
    <w:rsid w:val="00202C46"/>
    <w:rsid w:val="00210305"/>
    <w:rsid w:val="00225C19"/>
    <w:rsid w:val="0022632C"/>
    <w:rsid w:val="00227BDA"/>
    <w:rsid w:val="002377CC"/>
    <w:rsid w:val="002379E9"/>
    <w:rsid w:val="00242EA8"/>
    <w:rsid w:val="00245AD0"/>
    <w:rsid w:val="00247B1E"/>
    <w:rsid w:val="00260CC2"/>
    <w:rsid w:val="00270F3C"/>
    <w:rsid w:val="002748A6"/>
    <w:rsid w:val="00276D72"/>
    <w:rsid w:val="002817B7"/>
    <w:rsid w:val="002819BC"/>
    <w:rsid w:val="00294C26"/>
    <w:rsid w:val="002B1E12"/>
    <w:rsid w:val="002B774B"/>
    <w:rsid w:val="002C3161"/>
    <w:rsid w:val="002C4F22"/>
    <w:rsid w:val="002C56C0"/>
    <w:rsid w:val="002D1293"/>
    <w:rsid w:val="002D13E4"/>
    <w:rsid w:val="002D3F95"/>
    <w:rsid w:val="002D4A73"/>
    <w:rsid w:val="002D604E"/>
    <w:rsid w:val="002E4D38"/>
    <w:rsid w:val="002E6AE0"/>
    <w:rsid w:val="003011AA"/>
    <w:rsid w:val="00301B84"/>
    <w:rsid w:val="00310E82"/>
    <w:rsid w:val="00341BCE"/>
    <w:rsid w:val="00347A18"/>
    <w:rsid w:val="00354277"/>
    <w:rsid w:val="003556A3"/>
    <w:rsid w:val="00355AB3"/>
    <w:rsid w:val="003659D7"/>
    <w:rsid w:val="00372F4B"/>
    <w:rsid w:val="003744C8"/>
    <w:rsid w:val="00380413"/>
    <w:rsid w:val="003839EF"/>
    <w:rsid w:val="00393E8F"/>
    <w:rsid w:val="003A190E"/>
    <w:rsid w:val="003A1940"/>
    <w:rsid w:val="003A6B66"/>
    <w:rsid w:val="0040031E"/>
    <w:rsid w:val="00402EF0"/>
    <w:rsid w:val="00420854"/>
    <w:rsid w:val="00421C3E"/>
    <w:rsid w:val="00423231"/>
    <w:rsid w:val="004245EA"/>
    <w:rsid w:val="004300AB"/>
    <w:rsid w:val="0044359C"/>
    <w:rsid w:val="004622C3"/>
    <w:rsid w:val="004701F7"/>
    <w:rsid w:val="00476D3C"/>
    <w:rsid w:val="00482FA7"/>
    <w:rsid w:val="0049347B"/>
    <w:rsid w:val="00494533"/>
    <w:rsid w:val="004965CE"/>
    <w:rsid w:val="004A5D80"/>
    <w:rsid w:val="004B046F"/>
    <w:rsid w:val="004B1E28"/>
    <w:rsid w:val="004B7FBC"/>
    <w:rsid w:val="004C4B9E"/>
    <w:rsid w:val="004D2219"/>
    <w:rsid w:val="004D5813"/>
    <w:rsid w:val="004E74E5"/>
    <w:rsid w:val="0051051B"/>
    <w:rsid w:val="00512BB7"/>
    <w:rsid w:val="00514A23"/>
    <w:rsid w:val="0052355F"/>
    <w:rsid w:val="00523920"/>
    <w:rsid w:val="00525E8F"/>
    <w:rsid w:val="0055034B"/>
    <w:rsid w:val="00550A99"/>
    <w:rsid w:val="00555846"/>
    <w:rsid w:val="00570492"/>
    <w:rsid w:val="00586BBE"/>
    <w:rsid w:val="005B2C83"/>
    <w:rsid w:val="005B7C5A"/>
    <w:rsid w:val="005C2425"/>
    <w:rsid w:val="005C3837"/>
    <w:rsid w:val="005D10E3"/>
    <w:rsid w:val="005E4E04"/>
    <w:rsid w:val="005F6122"/>
    <w:rsid w:val="00603DD2"/>
    <w:rsid w:val="00604949"/>
    <w:rsid w:val="00610F46"/>
    <w:rsid w:val="00622B1C"/>
    <w:rsid w:val="00624CEB"/>
    <w:rsid w:val="00630967"/>
    <w:rsid w:val="00641FE1"/>
    <w:rsid w:val="00646CDC"/>
    <w:rsid w:val="00660553"/>
    <w:rsid w:val="00670D5F"/>
    <w:rsid w:val="00674C5B"/>
    <w:rsid w:val="00681510"/>
    <w:rsid w:val="006919E6"/>
    <w:rsid w:val="006966BE"/>
    <w:rsid w:val="006A1DA7"/>
    <w:rsid w:val="006A7306"/>
    <w:rsid w:val="006B12E5"/>
    <w:rsid w:val="006C5C85"/>
    <w:rsid w:val="006D1FA4"/>
    <w:rsid w:val="006E1697"/>
    <w:rsid w:val="006E7FBB"/>
    <w:rsid w:val="00705B63"/>
    <w:rsid w:val="0070772E"/>
    <w:rsid w:val="00711B82"/>
    <w:rsid w:val="00714C10"/>
    <w:rsid w:val="00721EE9"/>
    <w:rsid w:val="00733376"/>
    <w:rsid w:val="00747DAD"/>
    <w:rsid w:val="00756993"/>
    <w:rsid w:val="00776B8C"/>
    <w:rsid w:val="007A1AA8"/>
    <w:rsid w:val="007A4B8D"/>
    <w:rsid w:val="007C0664"/>
    <w:rsid w:val="007C25BB"/>
    <w:rsid w:val="007D69A1"/>
    <w:rsid w:val="007E093E"/>
    <w:rsid w:val="007F5FEF"/>
    <w:rsid w:val="007F7C1C"/>
    <w:rsid w:val="0080209D"/>
    <w:rsid w:val="00804794"/>
    <w:rsid w:val="00810950"/>
    <w:rsid w:val="008170BC"/>
    <w:rsid w:val="00822869"/>
    <w:rsid w:val="008353C6"/>
    <w:rsid w:val="00846B2D"/>
    <w:rsid w:val="0085216F"/>
    <w:rsid w:val="008544C1"/>
    <w:rsid w:val="00872C07"/>
    <w:rsid w:val="0087564B"/>
    <w:rsid w:val="00885138"/>
    <w:rsid w:val="008944E3"/>
    <w:rsid w:val="008B450A"/>
    <w:rsid w:val="008B4E57"/>
    <w:rsid w:val="008C39F0"/>
    <w:rsid w:val="008D39CD"/>
    <w:rsid w:val="008E075C"/>
    <w:rsid w:val="008E318D"/>
    <w:rsid w:val="008F0DB8"/>
    <w:rsid w:val="008F0DB9"/>
    <w:rsid w:val="009003D1"/>
    <w:rsid w:val="00917744"/>
    <w:rsid w:val="00937F39"/>
    <w:rsid w:val="00941728"/>
    <w:rsid w:val="009422B8"/>
    <w:rsid w:val="00946EE0"/>
    <w:rsid w:val="00955B3F"/>
    <w:rsid w:val="00965082"/>
    <w:rsid w:val="00967A42"/>
    <w:rsid w:val="00970E4C"/>
    <w:rsid w:val="00972928"/>
    <w:rsid w:val="0097702E"/>
    <w:rsid w:val="00983628"/>
    <w:rsid w:val="0099201E"/>
    <w:rsid w:val="00992EC2"/>
    <w:rsid w:val="009A58EB"/>
    <w:rsid w:val="009B6A75"/>
    <w:rsid w:val="009C254B"/>
    <w:rsid w:val="009C3409"/>
    <w:rsid w:val="009C6C21"/>
    <w:rsid w:val="009D1FE2"/>
    <w:rsid w:val="009D2C15"/>
    <w:rsid w:val="009E0319"/>
    <w:rsid w:val="009E5A20"/>
    <w:rsid w:val="009E6022"/>
    <w:rsid w:val="009F0AAB"/>
    <w:rsid w:val="009F6349"/>
    <w:rsid w:val="009F6C8C"/>
    <w:rsid w:val="00A022E4"/>
    <w:rsid w:val="00A05B14"/>
    <w:rsid w:val="00A0675A"/>
    <w:rsid w:val="00A12A3D"/>
    <w:rsid w:val="00A17293"/>
    <w:rsid w:val="00A202E3"/>
    <w:rsid w:val="00A20752"/>
    <w:rsid w:val="00A218FD"/>
    <w:rsid w:val="00A247D7"/>
    <w:rsid w:val="00A250C3"/>
    <w:rsid w:val="00A269E2"/>
    <w:rsid w:val="00A56020"/>
    <w:rsid w:val="00A66EFE"/>
    <w:rsid w:val="00A675C7"/>
    <w:rsid w:val="00A73B9F"/>
    <w:rsid w:val="00A85D6F"/>
    <w:rsid w:val="00A9538D"/>
    <w:rsid w:val="00A979EF"/>
    <w:rsid w:val="00AA47CC"/>
    <w:rsid w:val="00AA5C9F"/>
    <w:rsid w:val="00AB7869"/>
    <w:rsid w:val="00AE0D0D"/>
    <w:rsid w:val="00B05893"/>
    <w:rsid w:val="00B07C7D"/>
    <w:rsid w:val="00B4491C"/>
    <w:rsid w:val="00B46E04"/>
    <w:rsid w:val="00B5519B"/>
    <w:rsid w:val="00B7089B"/>
    <w:rsid w:val="00B87647"/>
    <w:rsid w:val="00B95B62"/>
    <w:rsid w:val="00BA50CD"/>
    <w:rsid w:val="00BA70D0"/>
    <w:rsid w:val="00BB626A"/>
    <w:rsid w:val="00BC3CC2"/>
    <w:rsid w:val="00BC6592"/>
    <w:rsid w:val="00BD37AC"/>
    <w:rsid w:val="00BE4092"/>
    <w:rsid w:val="00BE544D"/>
    <w:rsid w:val="00BF463F"/>
    <w:rsid w:val="00C07EE4"/>
    <w:rsid w:val="00C16F58"/>
    <w:rsid w:val="00C21BA3"/>
    <w:rsid w:val="00C24B7F"/>
    <w:rsid w:val="00C36181"/>
    <w:rsid w:val="00C4027E"/>
    <w:rsid w:val="00C56FC6"/>
    <w:rsid w:val="00C57F8B"/>
    <w:rsid w:val="00C60FD4"/>
    <w:rsid w:val="00C701AD"/>
    <w:rsid w:val="00C91674"/>
    <w:rsid w:val="00C93AF8"/>
    <w:rsid w:val="00C96566"/>
    <w:rsid w:val="00CA72A0"/>
    <w:rsid w:val="00CB2AA3"/>
    <w:rsid w:val="00CB40F9"/>
    <w:rsid w:val="00CC1391"/>
    <w:rsid w:val="00CC1AE0"/>
    <w:rsid w:val="00CC25C0"/>
    <w:rsid w:val="00CD42A9"/>
    <w:rsid w:val="00CF2AF5"/>
    <w:rsid w:val="00CF3A50"/>
    <w:rsid w:val="00CF5A4F"/>
    <w:rsid w:val="00CF71C6"/>
    <w:rsid w:val="00D10537"/>
    <w:rsid w:val="00D11409"/>
    <w:rsid w:val="00D22E64"/>
    <w:rsid w:val="00D234D0"/>
    <w:rsid w:val="00D370DA"/>
    <w:rsid w:val="00D40818"/>
    <w:rsid w:val="00D53806"/>
    <w:rsid w:val="00D6215D"/>
    <w:rsid w:val="00D6692A"/>
    <w:rsid w:val="00D773FA"/>
    <w:rsid w:val="00D774F0"/>
    <w:rsid w:val="00D82048"/>
    <w:rsid w:val="00D83D45"/>
    <w:rsid w:val="00D905DD"/>
    <w:rsid w:val="00D92C13"/>
    <w:rsid w:val="00D92EEB"/>
    <w:rsid w:val="00DA5792"/>
    <w:rsid w:val="00DA712E"/>
    <w:rsid w:val="00DB6614"/>
    <w:rsid w:val="00DC01D6"/>
    <w:rsid w:val="00DD01BE"/>
    <w:rsid w:val="00DD0D1C"/>
    <w:rsid w:val="00DD2B83"/>
    <w:rsid w:val="00DE03AE"/>
    <w:rsid w:val="00DE7158"/>
    <w:rsid w:val="00DF03CD"/>
    <w:rsid w:val="00DF2202"/>
    <w:rsid w:val="00DF2B87"/>
    <w:rsid w:val="00E01112"/>
    <w:rsid w:val="00E247E4"/>
    <w:rsid w:val="00E25864"/>
    <w:rsid w:val="00E260E8"/>
    <w:rsid w:val="00E314C4"/>
    <w:rsid w:val="00E44BCB"/>
    <w:rsid w:val="00E54B98"/>
    <w:rsid w:val="00E768FF"/>
    <w:rsid w:val="00E80895"/>
    <w:rsid w:val="00E83A46"/>
    <w:rsid w:val="00E908A7"/>
    <w:rsid w:val="00E9626F"/>
    <w:rsid w:val="00EB02C4"/>
    <w:rsid w:val="00EC016E"/>
    <w:rsid w:val="00EC3254"/>
    <w:rsid w:val="00EC3749"/>
    <w:rsid w:val="00EC543C"/>
    <w:rsid w:val="00EE1AB5"/>
    <w:rsid w:val="00EE4CDF"/>
    <w:rsid w:val="00EF51F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3F39"/>
    <w:rsid w:val="00FA1CAD"/>
    <w:rsid w:val="00FB7137"/>
    <w:rsid w:val="00FC3F33"/>
    <w:rsid w:val="00FC43C4"/>
    <w:rsid w:val="00FD4E84"/>
    <w:rsid w:val="00FE1DF3"/>
    <w:rsid w:val="00FE2C14"/>
    <w:rsid w:val="00FF309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A3310"/>
  <w15:docId w15:val="{876F1454-E6A8-4DC6-AD62-9F0DAC32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A5900-600B-4042-B656-D48FA2BD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Aotearoa SuperGrans</dc:creator>
  <cp:lastModifiedBy>Aotearoa SuperGrans</cp:lastModifiedBy>
  <cp:revision>13</cp:revision>
  <cp:lastPrinted>2016-05-12T04:50:00Z</cp:lastPrinted>
  <dcterms:created xsi:type="dcterms:W3CDTF">2016-11-25T02:09:00Z</dcterms:created>
  <dcterms:modified xsi:type="dcterms:W3CDTF">2016-11-25T03:42:00Z</dcterms:modified>
</cp:coreProperties>
</file>